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80 godzin, w tym:
a) uczestnictwo w wykładach - 30 godzin
b) uczestnictwo w ćwiczeniach - 45 godzin,
c) udział w konsultacjach związanych z realizacją ćwiczeń - 5 godzin.
2) Praca własna studenta -  45 godzin, w tym:
a) zapoznanie się ze wskazaną literaturą - 15 godzin,
b)  realizacja zadań projektowych w domu - 20 godzin,
c) przygotowanie do egzaminu  i obecność na egzaminie - 10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3,2 punktu ECTS - liczba godzin kontaktowych - 80 godzin, w tym:
a) uczestnictwo w wykładach - 30 godzin
b) uczestnictwo w ćwiczeniach - 45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3,2 punktu ECTS - 80 godzin, w tym:
a) uczestnictwo w ćwiczeniach - 45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prowadzonym na 1 stopniu studiów kier. Geodezja i Kartografia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Tworzenie Zintegrowanego Systemu Informacji o Nieruchomościach. Zapoznanie się z systemami katastralnymi funkcjonującymi w krajach Unii Europejskiej oraz kierunkami rozwoju katastru na świecie. Przybliżenie idei katastru trójwymiarowego w aspekcie zarówno prawnym i technicznym.</w:t>
      </w:r>
    </w:p>
    <w:p>
      <w:pPr>
        <w:keepNext w:val="1"/>
        <w:spacing w:after="10"/>
      </w:pPr>
      <w:r>
        <w:rPr>
          <w:b/>
          <w:bCs/>
        </w:rPr>
        <w:t xml:space="preserve">Treści kształcenia: </w:t>
      </w:r>
    </w:p>
    <w:p>
      <w:pPr>
        <w:spacing w:before="20" w:after="190"/>
      </w:pPr>
      <w:r>
        <w:rPr/>
        <w:t xml:space="preserve">Wykład:
Szczegółowe zasady pozyskiwania danych o budynkach dla celów związanych z modernizacją katastru nieruchomości – analiza przypadków praktycznych, orzecznictwo, problematyka określania zgodności wybudowania obiektu z projektem zagospodarowania terenu.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PN-ISO 9836:1997, PN-ISO 9836:2015-12) oraz zagraniczne (ANSI/BOMA Z65.1-2010, norma GIF, standardy RISC, norma IPMS – Office Buildings). Zasady weryfikacji powierzchni inwentaryzowanych obiektów (lokali) – analiza dokładnościowa. Aktualne procedury przepływu informacji katastralnej w Polsce – między systemami katastru i ksiąg wieczystych.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Systemy katastralne w wybranych krajach Unii Europejskiej (Holandia, Austria, Szwecja, Niemcy – wybrane landy) – aspekty organizacyjne i techniczne, powiązanie komponentu katastru fizycznego z księgami wieczystymi oraz odniesienie do rozwiązań polskich. Kataster 3D – idea katastru trójwymiarowego, rozwiązania istniejące, proponowane rozwiązania modelowe, kierunki badań. Norma ISO 19152 – Land Administration Domain Model (LADM) oraz standard CityGML - ich rola i wykorzystanie w budowaniu katastru 3D. Wizualizacja danych katastralnych, w tym na potrzeby nowoczesnych systemów katastralnych 3D.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ustalenia przebiegu granic działek ewidencyjnych w trybie przepisów rozporządzenia Ministra Rozwoju Regionalnego i I Budownictwa z dnia 29 marca 2001 r. w sprawie ewidencji gruntów i budynków wraz z obliczeniami, szkicem do obliczeń, zawiadomieniami stron o ww. czynnościach i sprawozdaniem technicznym. Obliczenie powierzchni użytkowej lokalu na podstawie rzutu poziomego dla celów katastralnych tj. zgodnie z ustawą z dnia 21 czerwca 2001 r. – o ochronie praw lokatorów, mieszkaniowym zasobie gminy  i o zmianie Kodeksu cywilnego.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 z 2019 poz. 725 z późn. zmianami),
Rozporządzenie Ministra Rozwoju Regionalnego i Budownictwa z dnia 29 marca 2001r. w sprawie ewidencji gruntów i budynków (Dz. U. z 2016r poz. 1034 z późn. zmianami),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17 listopada 1964r. – Kodeks postępowania cywilnego (Dz. U. z 2018, poz. 155 z poźn. zmianami)
Rozporządzenie Ministra Sprawiedliwości z dnia 23 grudnia 2015r. – Regulamin urzędowania sądów powszechnych (Dz.U.2015 poz. 2316)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 obowiązujące na przestrzeni lat, jak i obecnie (PN-70/B-02365 i PN-ISO 9836:1997, ANSI/BOMA Z65.1-2010, norma GIF, standardy RISC, IPMS – Office Buildings).
Wybrane pozycje literatury dotyczącej historii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2025-07-09T06:12:17+02:00</dcterms:created>
  <dcterms:modified xsi:type="dcterms:W3CDTF">2025-07-09T06:12:17+02:00</dcterms:modified>
</cp:coreProperties>
</file>

<file path=docProps/custom.xml><?xml version="1.0" encoding="utf-8"?>
<Properties xmlns="http://schemas.openxmlformats.org/officeDocument/2006/custom-properties" xmlns:vt="http://schemas.openxmlformats.org/officeDocument/2006/docPropsVTypes"/>
</file>