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 krajach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ćwiczenia - 30 godz.
b) konsultacje - 5 godz.
2. Praca własna studenta - 15, w tym:
a) przygotowanie prezentacji - 15 godz.
Łączny nakład pracy studenta wynosi 50 godzin, co odpowiada 2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 godzin, w tym:
a) ćwiczenia - 30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a) uczestniczenie w ćwiczeniach - 30 godz.
b) przygotowanie prezentacji - 15 godz.
c) konsultacje - 5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z zakresu urbanistyki i gospodarki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rozwiązaniami urbanistycznymi w różnych krajach Unii Europejskiej oraz różnorodnością sposobów realizacji projektów urbanistycznych i systemów planowania przestrzennego. Ponadto, student zaznajamia się z  uwarunkowaniami prawno-gospodarczymi występującymi w miastach UE, które mają wpływ na rozwiązania urbanistyczne.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Kompleksowa analiza rozwiązań urbanistycznych z poszczególnych krajów UE. Zakres analizy obejmuje w szczególności następujące zagadnienia:  1) Zainicjowanie projektu – przyczyna/ podstawowe cele; 2) ‘Aktorzy’ i ich rola; 3) Forma zarządzania - złożoność struktur/ wzajemna zależność/ współdziałanie/ koordynacja; 4) Kompozycja urbanistyczna - powiązania ze strukturą miasta/ uwarunkowania środowiskowe/ historyczne/ etc.; 5) Proces realizacji projektu - rola mediacji i jej zakres tematyczny; 6) Źródła finansowania; 7) Metoda zagospodarowania przestrzennego - e.g. zagospodarowanie gruntów prywatnych/miejskich, współpraca z samorządem, etc., 8) System planowania przestrzennego - regulacja/ nieformalność, 9) Inne uwarunkowania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wraz z raportem, Esej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 Maciej Chmielewski, Teoria Urbanistyki w projektowaniu i planowaniu miast, Oficyna Wydawnicza Politechniki Warszawskiej, 2010
2.	Magdalena Belof, Teoria a praktyka planowania regionalnego. Doświadczenia polskie w planowaniu przestrzennym po 1989r. Oficyna Wydawnicza Politechniki Wrocławskiej, 2013
3.	Sławomir Gzel, Wykłady o współczesnej urbanistyce, Oficyna Wydawnicza Politechniki Warszawskiej, 2015
4.	Cities of tomorrow - Challenges, visions, ways forward – (Miasta jutra – wyzwania, wizje, rozwiązania), Komisja Europejska, 2011, http://ec.europa.eu/regional_policy/archive/conferences/citiesoftomorrow/index_en.cfm
5.	The European Innovation Partnership on Smart Cities and Communities - Operational Implementation Plan: First Public Draft, 2015, http://ec.europa.eu/eip/smartcities/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GP.SMK110_W1 : </w:t>
      </w:r>
    </w:p>
    <w:p>
      <w:pPr/>
      <w:r>
        <w:rPr/>
        <w:t xml:space="preserve">zna przykłady rozwiązań urbanistycznych z rożnych krajów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keepNext w:val="1"/>
        <w:spacing w:after="10"/>
      </w:pPr>
      <w:r>
        <w:rPr>
          <w:b/>
          <w:bCs/>
        </w:rPr>
        <w:t xml:space="preserve">Efekt GP.SMK110_W2: </w:t>
      </w:r>
    </w:p>
    <w:p>
      <w:pPr/>
      <w:r>
        <w:rPr/>
        <w:t xml:space="preserve">rozumie różnorodność sposobów realizacji projektów urbanistycznych i ich kompleksowość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keepNext w:val="1"/>
        <w:spacing w:after="10"/>
      </w:pPr>
      <w:r>
        <w:rPr>
          <w:b/>
          <w:bCs/>
        </w:rPr>
        <w:t xml:space="preserve">Efekt GP.SMK110_W3: </w:t>
      </w:r>
    </w:p>
    <w:p>
      <w:pPr/>
      <w:r>
        <w:rPr/>
        <w:t xml:space="preserve">rozumie różnorodność systemów planowania przestrzennego w Europie oraz uwarunkowań prawno-gospodarczych występujących w miastach UE, które mają wpływ na rozwiązania urbanistyczne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GP.SMK110_U1: </w:t>
      </w:r>
    </w:p>
    <w:p>
      <w:pPr/>
      <w:r>
        <w:rPr/>
        <w:t xml:space="preserve">potrafi samodzielnie pozyskiwać informacje z literatury  i innych źródeł dotyczące urbanistyki i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keepNext w:val="1"/>
        <w:spacing w:after="10"/>
      </w:pPr>
      <w:r>
        <w:rPr>
          <w:b/>
          <w:bCs/>
        </w:rPr>
        <w:t xml:space="preserve">Efekt GP.SMK110_U2: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keepNext w:val="1"/>
        <w:spacing w:after="10"/>
      </w:pPr>
      <w:r>
        <w:rPr>
          <w:b/>
          <w:bCs/>
        </w:rPr>
        <w:t xml:space="preserve">Efekt GP.SMK110_U3: </w:t>
      </w:r>
    </w:p>
    <w:p>
      <w:pPr/>
      <w:r>
        <w:rPr/>
        <w:t xml:space="preserve">umie przygotować wystąpienia ustne z wykorzystaniem rożnych środków komunikacji werbalnej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GP.SMK110_K1: </w:t>
      </w:r>
    </w:p>
    <w:p>
      <w:pPr/>
      <w:r>
        <w:rPr/>
        <w:t xml:space="preserve">ma wyrobioną świadomość zawodową społecznej odpowiedzialności przy ocenie i w podejmowaniu decyzji w zakresie planowania przestrzennego prowadzonego w różnych skalach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GP.SMK110_K2: </w:t>
      </w:r>
    </w:p>
    <w:p>
      <w:pPr/>
      <w:r>
        <w:rPr/>
        <w:t xml:space="preserve">potrafi współpracować i pracować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GP.SMK110_K3: </w:t>
      </w:r>
    </w:p>
    <w:p>
      <w:pPr/>
      <w:r>
        <w:rPr/>
        <w:t xml:space="preserve">potrafi przewidywać wielokierunkowe skutki swojej działalności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2026-06-24T15:02:20+02:00</dcterms:created>
  <dcterms:modified xsi:type="dcterms:W3CDTF">2026-06-24T15:02:20+02:00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