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
a) uczestnictwo w wykładach - 16 godzin
2) Praca własna studenta - 15 godzin, w tym:
a) studia literaturowe i analiza przykładów opracowań - 10 godzin
b) przygotowanie do sprawdzianu zaliczeniowego - 5 godzin.
RAZEM: 31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punkta ECTS - liczba godzin kontaktowych - 16 godzin, w tym:
a) uczestnictwo w wykładach - 16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GK.NMS450_W1: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T2A_W04, T2A_W07, T2A_W08,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GK.NMS450_W3: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T2A_W10, 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GK.NMS450_U1: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T2A_U04</w:t>
      </w:r>
    </w:p>
    <w:p>
      <w:pPr>
        <w:keepNext w:val="1"/>
        <w:spacing w:after="10"/>
      </w:pPr>
      <w:r>
        <w:rPr>
          <w:b/>
          <w:bCs/>
        </w:rPr>
        <w:t xml:space="preserve">Efekt GK.NMS450_U2: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GK.NMS450_K1: </w:t>
      </w:r>
    </w:p>
    <w:p>
      <w:pPr/>
      <w:r>
        <w:rPr/>
        <w:t xml:space="preserve">ma świadomość odpowiedzialności za publikowane dane przestrzenne i opisowe, ich jakość i ograniczenia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2026-09-26T22:58:20+02:00</dcterms:created>
  <dcterms:modified xsi:type="dcterms:W3CDTF">2026-09-26T22:58:20+02:00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