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wiedzy technicznej z zakresu budownictwa 1</w:t>
      </w:r>
    </w:p>
    <w:p>
      <w:pPr>
        <w:keepNext w:val="1"/>
        <w:spacing w:after="10"/>
      </w:pPr>
      <w:r>
        <w:rPr>
          <w:b/>
          <w:bCs/>
        </w:rPr>
        <w:t xml:space="preserve">Koordynator przedmiotu: </w:t>
      </w:r>
    </w:p>
    <w:p>
      <w:pPr>
        <w:spacing w:before="20" w:after="190"/>
      </w:pPr>
      <w:r>
        <w:rPr/>
        <w:t xml:space="preserve">dr inż. arch. Małgorzata Denis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GP.NIK407</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- 20 godzin, w tym:
a) obecność na wykładach - 16 godz.
b) udział w konsultacjach - 4 godz.
2. Praca własna studenta - 30 godzin, w tym:
a) przygotowanie do zaliczenia wykładu - 25 godz.
b) zapoznanie się z literaturą  - 5 godz.
Łączny nakład pracy studenta wynosi 50 godzin,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0,8 pkt. ECTS - liczba godzin kontaktowych 20, w tym:
a) obecność na wykładach - 16 godz.
b) udział w konsultacjach - 4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Umiejętności związane z rysunkiem technicznym.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zaznajomić studentów z podstawowymi ustrojami budowlanymi niezbędnymi przy projektowaniu urbanistycznym i odnieść te ustroje do różnych typów budynków mieszkalnych i usługowych (handlowych, oświatowych, biurowych, kultury, sportu).  </w:t>
      </w:r>
    </w:p>
    <w:p>
      <w:pPr>
        <w:keepNext w:val="1"/>
        <w:spacing w:after="10"/>
      </w:pPr>
      <w:r>
        <w:rPr>
          <w:b/>
          <w:bCs/>
        </w:rPr>
        <w:t xml:space="preserve">Treści kształcenia: </w:t>
      </w:r>
    </w:p>
    <w:p>
      <w:pPr>
        <w:spacing w:before="20" w:after="190"/>
      </w:pPr>
      <w:r>
        <w:rPr/>
        <w:t xml:space="preserve">Cykl wykładów obejmuje następujące zagadnienia:
Przedstawienie studentom zasad projektowania architektonicznego w Polsce. 
Omówienie wybranych materiałów budowlanych (beton, ceramika, drewno, stal itp), systemów budownictwa stosowanych w zależności od funkcji budynku. 
Przedstawienie charakterystycznych elementów budynku (fundamenty, stropy, ściany, stropodachy, dachy strome) oraz elementów towarzyszących budowlom np.: ogrodzenia, ławki, altany, kładki, mostki itp.). 
Na wykładach omówione są normy budowlane i ustawy dotyczące projektowania architektonicznego.
Ponadto zaprezentowanie różnych typów obiektów: mieszkalnych, użyteczności publicznej o różnym przeznaczeniu, usług komercyjnych, sakralnych, przemysłowych na przykładzie współczesnych obiektów architektonicznych. 
Omówienie, jakie dla danego typu budynków i budowli wymagane jest zapotrzebowanie powierzchniowe terenu, w jakich sposób należy projektować dane obiekty. 
Przedstawienie najnowszych trendów projektowych na świecie i w Polsce i na świecie.</w:t>
      </w:r>
    </w:p>
    <w:p>
      <w:pPr>
        <w:keepNext w:val="1"/>
        <w:spacing w:after="10"/>
      </w:pPr>
      <w:r>
        <w:rPr>
          <w:b/>
          <w:bCs/>
        </w:rPr>
        <w:t xml:space="preserve">Metody oceny: </w:t>
      </w:r>
    </w:p>
    <w:p>
      <w:pPr>
        <w:spacing w:before="20" w:after="190"/>
      </w:pPr>
      <w:r>
        <w:rPr/>
        <w:t xml:space="preserve">Na zakończenie wykładów przeprowadzony jest sprawdzian pisemny w formie testu, z wiedzy zdobytej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Bogusz W., „Projektowanie architektoniczne i budownictwo regionalne”, WSiP, Warszawa 1999.
2. Hovells T., „Najwspanialsze budowle świata”, Elipsa, Warszawa 2003.
3. Martinek W., „Budownictwo ogólne”, WSiP, 1977.
4. Neufert E., „Podręcznik projektowania architektoniczno – budowlanego”, Arkady, Warszawa 2003.
5. Parczewski W., Tauszyński K., „Projektowanie obiektów użyteczności publicznej”, WSiP, Warszawa 1988.
6. Sieczkowski J., Nejman T., „Ustroje budowlane”, WPW, Warszawa 1991.
7. Szymański E., Wrześniowski Z., „Materiały budowlane”, WSiP, Warszawa 1964.
8. Tauszyński K., „Wstęp do projektowania architektonicznego”, WSiP, Warszawa 2003.
9. Czasopisma architektoniczne: „Architektura”, „Architektura i Biznes”, „Archivolta” itp.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GP.NIK407_W1: </w:t>
      </w:r>
    </w:p>
    <w:p>
      <w:pPr/>
      <w:r>
        <w:rPr/>
        <w:t xml:space="preserve">ma podstawową wiedzę z zakresu  projektowania prostych ustrojów budowlanych budynków i budowli </w:t>
      </w:r>
    </w:p>
    <w:p>
      <w:pPr>
        <w:spacing w:before="60"/>
      </w:pPr>
      <w:r>
        <w:rPr/>
        <w:t xml:space="preserve">Weryfikacja: </w:t>
      </w:r>
    </w:p>
    <w:p>
      <w:pPr>
        <w:spacing w:before="20" w:after="190"/>
      </w:pPr>
      <w:r>
        <w:rPr/>
        <w:t xml:space="preserve">ocena z testu końcowego</w:t>
      </w:r>
    </w:p>
    <w:p>
      <w:pPr>
        <w:spacing w:before="20" w:after="190"/>
      </w:pPr>
      <w:r>
        <w:rPr>
          <w:b/>
          <w:bCs/>
        </w:rPr>
        <w:t xml:space="preserve">Powiązane efekty kierunkowe: </w:t>
      </w:r>
      <w:r>
        <w:rPr/>
        <w:t xml:space="preserve">K_W17_SR, K_W17_UR, K_W18</w:t>
      </w:r>
    </w:p>
    <w:p>
      <w:pPr>
        <w:spacing w:before="20" w:after="190"/>
      </w:pPr>
      <w:r>
        <w:rPr>
          <w:b/>
          <w:bCs/>
        </w:rPr>
        <w:t xml:space="preserve">Powiązane efekty obszarowe: </w:t>
      </w:r>
      <w:r>
        <w:rPr/>
        <w:t xml:space="preserve">T1A_W02, T1A_W04, T1A_W06, T1A_W02, T1A_W04, T1A_W02, T1A_W06</w:t>
      </w:r>
    </w:p>
    <w:p>
      <w:pPr>
        <w:keepNext w:val="1"/>
        <w:spacing w:after="10"/>
      </w:pPr>
      <w:r>
        <w:rPr>
          <w:b/>
          <w:bCs/>
        </w:rPr>
        <w:t xml:space="preserve">Efekt GP.NIK407_W2: </w:t>
      </w:r>
    </w:p>
    <w:p>
      <w:pPr/>
      <w:r>
        <w:rPr/>
        <w:t xml:space="preserve">student poznaje podstawowe techniki sporządzania projektów budowlanych</w:t>
      </w:r>
    </w:p>
    <w:p>
      <w:pPr>
        <w:spacing w:before="60"/>
      </w:pPr>
      <w:r>
        <w:rPr/>
        <w:t xml:space="preserve">Weryfikacja: </w:t>
      </w:r>
    </w:p>
    <w:p>
      <w:pPr>
        <w:spacing w:before="20" w:after="190"/>
      </w:pPr>
      <w:r>
        <w:rPr/>
        <w:t xml:space="preserve">ocena z testu końcowego</w:t>
      </w:r>
    </w:p>
    <w:p>
      <w:pPr>
        <w:spacing w:before="20" w:after="190"/>
      </w:pPr>
      <w:r>
        <w:rPr>
          <w:b/>
          <w:bCs/>
        </w:rPr>
        <w:t xml:space="preserve">Powiązane efekty kierunkowe: </w:t>
      </w:r>
      <w:r>
        <w:rPr/>
        <w:t xml:space="preserve">K_W15_SR, K_W15_UR</w:t>
      </w:r>
    </w:p>
    <w:p>
      <w:pPr>
        <w:spacing w:before="20" w:after="190"/>
      </w:pPr>
      <w:r>
        <w:rPr>
          <w:b/>
          <w:bCs/>
        </w:rPr>
        <w:t xml:space="preserve">Powiązane efekty obszarowe: </w:t>
      </w:r>
      <w:r>
        <w:rPr/>
        <w:t xml:space="preserve">T1A_W07, T1A_W07</w:t>
      </w:r>
    </w:p>
    <w:p>
      <w:pPr>
        <w:pStyle w:val="Heading3"/>
      </w:pPr>
      <w:bookmarkStart w:id="3" w:name="_Toc3"/>
      <w:r>
        <w:t>Profil ogólnoakademicki - umiejętności</w:t>
      </w:r>
      <w:bookmarkEnd w:id="3"/>
    </w:p>
    <w:p>
      <w:pPr>
        <w:keepNext w:val="1"/>
        <w:spacing w:after="10"/>
      </w:pPr>
      <w:r>
        <w:rPr>
          <w:b/>
          <w:bCs/>
        </w:rPr>
        <w:t xml:space="preserve">Efekt GP.NIK407_U1: </w:t>
      </w:r>
    </w:p>
    <w:p>
      <w:pPr/>
      <w:r>
        <w:rPr/>
        <w:t xml:space="preserve">student potrafi pozyskać informacje z literatury fachowej oraz źródeł internetowych na potrzeby realizacji projektów budowlanych</w:t>
      </w:r>
    </w:p>
    <w:p>
      <w:pPr>
        <w:spacing w:before="60"/>
      </w:pPr>
      <w:r>
        <w:rPr/>
        <w:t xml:space="preserve">Weryfikacja: </w:t>
      </w:r>
    </w:p>
    <w:p>
      <w:pPr>
        <w:spacing w:before="20" w:after="190"/>
      </w:pPr>
      <w:r>
        <w:rPr/>
        <w:t xml:space="preserve">ocena z testu końcowego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GP.NIK407_U2: </w:t>
      </w:r>
    </w:p>
    <w:p>
      <w:pPr/>
      <w:r>
        <w:rPr/>
        <w:t xml:space="preserve">student potrafi przygotować i przedstawić prezentację związaną z zagadnieniami budowlanymi</w:t>
      </w:r>
    </w:p>
    <w:p>
      <w:pPr>
        <w:spacing w:before="60"/>
      </w:pPr>
      <w:r>
        <w:rPr/>
        <w:t xml:space="preserve">Weryfikacja: </w:t>
      </w:r>
    </w:p>
    <w:p>
      <w:pPr>
        <w:spacing w:before="20" w:after="190"/>
      </w:pPr>
      <w:r>
        <w:rPr/>
        <w:t xml:space="preserve">ocena poprawności wykonanej prezentacji</w:t>
      </w:r>
    </w:p>
    <w:p>
      <w:pPr>
        <w:spacing w:before="20" w:after="190"/>
      </w:pPr>
      <w:r>
        <w:rPr>
          <w:b/>
          <w:bCs/>
        </w:rPr>
        <w:t xml:space="preserve">Powiązane efekty kierunkowe: </w:t>
      </w:r>
      <w:r>
        <w:rPr/>
        <w:t xml:space="preserve">K_U02, K_U04</w:t>
      </w:r>
    </w:p>
    <w:p>
      <w:pPr>
        <w:spacing w:before="20" w:after="190"/>
      </w:pPr>
      <w:r>
        <w:rPr>
          <w:b/>
          <w:bCs/>
        </w:rPr>
        <w:t xml:space="preserve">Powiązane efekty obszarowe: </w:t>
      </w:r>
      <w:r>
        <w:rPr/>
        <w:t xml:space="preserve">T1A_U02, T1A_U04</w:t>
      </w:r>
    </w:p>
    <w:p>
      <w:pPr>
        <w:keepNext w:val="1"/>
        <w:spacing w:after="10"/>
      </w:pPr>
      <w:r>
        <w:rPr>
          <w:b/>
          <w:bCs/>
        </w:rPr>
        <w:t xml:space="preserve">Efekt GP.NIK407_U3: </w:t>
      </w:r>
    </w:p>
    <w:p>
      <w:pPr/>
      <w:r>
        <w:rPr/>
        <w:t xml:space="preserve">potrafi opracować i interpretować rysunki budowlane z opisami technicznymi</w:t>
      </w:r>
    </w:p>
    <w:p>
      <w:pPr>
        <w:spacing w:before="60"/>
      </w:pPr>
      <w:r>
        <w:rPr/>
        <w:t xml:space="preserve">Weryfikacja: </w:t>
      </w:r>
    </w:p>
    <w:p>
      <w:pPr>
        <w:spacing w:before="20" w:after="190"/>
      </w:pPr>
      <w:r>
        <w:rPr/>
        <w:t xml:space="preserve">ocena z testu końcowego, w którym znajdują się zagadnienia związane z dokumentacją techniczną</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T1A_U03</w:t>
      </w:r>
    </w:p>
    <w:p>
      <w:pPr>
        <w:keepNext w:val="1"/>
        <w:spacing w:after="10"/>
      </w:pPr>
      <w:r>
        <w:rPr>
          <w:b/>
          <w:bCs/>
        </w:rPr>
        <w:t xml:space="preserve">Efekt GP.NIK407_U4: </w:t>
      </w:r>
    </w:p>
    <w:p>
      <w:pPr/>
      <w:r>
        <w:rPr/>
        <w:t xml:space="preserve">student zapoznaje się z przepisami prawa budowlanego, rozporządzeniem związanym z projektowaniem architektonicznym</w:t>
      </w:r>
    </w:p>
    <w:p>
      <w:pPr>
        <w:spacing w:before="60"/>
      </w:pPr>
      <w:r>
        <w:rPr/>
        <w:t xml:space="preserve">Weryfikacja: </w:t>
      </w:r>
    </w:p>
    <w:p>
      <w:pPr>
        <w:spacing w:before="20" w:after="190"/>
      </w:pPr>
      <w:r>
        <w:rPr/>
        <w:t xml:space="preserve">ocena z testu końcowego</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pStyle w:val="Heading3"/>
      </w:pPr>
      <w:bookmarkStart w:id="4" w:name="_Toc4"/>
      <w:r>
        <w:t>Profil ogólnoakademicki - kompetencje społeczne</w:t>
      </w:r>
      <w:bookmarkEnd w:id="4"/>
    </w:p>
    <w:p>
      <w:pPr>
        <w:keepNext w:val="1"/>
        <w:spacing w:after="10"/>
      </w:pPr>
      <w:r>
        <w:rPr>
          <w:b/>
          <w:bCs/>
        </w:rPr>
        <w:t xml:space="preserve">Efekt GP.NIK407_K1: </w:t>
      </w:r>
    </w:p>
    <w:p>
      <w:pPr/>
      <w:r>
        <w:rPr/>
        <w:t xml:space="preserve">zagadnienia przedstawiane na wykładzie podnoszą kompetencje zawodowe związane z projektowaniem architektonicznym, zrównoważonym i ekologicznym</w:t>
      </w:r>
    </w:p>
    <w:p>
      <w:pPr>
        <w:spacing w:before="60"/>
      </w:pPr>
      <w:r>
        <w:rPr/>
        <w:t xml:space="preserve">Weryfikacja: </w:t>
      </w:r>
    </w:p>
    <w:p>
      <w:pPr>
        <w:spacing w:before="20" w:after="190"/>
      </w:pPr>
      <w:r>
        <w:rPr/>
        <w:t xml:space="preserve">ocena z testu końcowego</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T1A_K02</w:t>
      </w:r>
    </w:p>
    <w:p>
      <w:pPr>
        <w:keepNext w:val="1"/>
        <w:spacing w:after="10"/>
      </w:pPr>
      <w:r>
        <w:rPr>
          <w:b/>
          <w:bCs/>
        </w:rPr>
        <w:t xml:space="preserve">Efekt GP.NIK407_K2: </w:t>
      </w:r>
    </w:p>
    <w:p>
      <w:pPr/>
      <w:r>
        <w:rPr/>
        <w:t xml:space="preserve">ma świadomość odpowiedzialności zawodowej za wykonywaną pracę w zakresie architektury; rozumie związki pomiędzy gospodarką przestrzenną a architekturą, konstrukcją</w:t>
      </w:r>
    </w:p>
    <w:p>
      <w:pPr>
        <w:spacing w:before="60"/>
      </w:pPr>
      <w:r>
        <w:rPr/>
        <w:t xml:space="preserve">Weryfikacja: </w:t>
      </w:r>
    </w:p>
    <w:p>
      <w:pPr>
        <w:spacing w:before="20" w:after="190"/>
      </w:pPr>
      <w:r>
        <w:rPr/>
        <w:t xml:space="preserve">ocena z testu końcowego</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T1A_K03, T1A_K04,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2026-09-27T14:54:46+02:00</dcterms:created>
  <dcterms:modified xsi:type="dcterms:W3CDTF">2026-09-27T14:54:46+02:00</dcterms:modified>
</cp:coreProperties>
</file>

<file path=docProps/custom.xml><?xml version="1.0" encoding="utf-8"?>
<Properties xmlns="http://schemas.openxmlformats.org/officeDocument/2006/custom-properties" xmlns:vt="http://schemas.openxmlformats.org/officeDocument/2006/docPropsVTypes"/>
</file>