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– 8 godz.
b) konsultacje – 8 godz.
2. Praca własna studenta – 34 godziny, w tym:
a) zapoznanie się z literaturą przedmiotu i przygotowanie się do kolokwium - 34 godziny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– 8 godz.
b) 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Miasta i regiony - zmiany, dylematy rozwoju - przykłady.
2. Czynniki zmian w gospodarce przestrzennej.
3. Atrakcyjność inwestycyjna regionów.
4. 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kolokwium.
Kolokwium obejmuje zagadnienia omawiane na wykładzie.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Warszawa 2006.
2. Gospodarka regionalna i lokalna, red. Zbigniew Strzelecki, PWN, Warszawa 2008.
3. Miasto jako przedmiot badań, red. Bohdan Jałowiecki, Wydawnictwo Naukowe Scholar,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GP.NIK505_W1: </w:t>
      </w:r>
    </w:p>
    <w:p>
      <w:pPr/>
      <w:r>
        <w:rPr/>
        <w:t xml:space="preserve">rozumie istotę procesu urbanizacji, zna jej rodzaje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GP.NIK505_W2: </w:t>
      </w:r>
    </w:p>
    <w:p>
      <w:pPr/>
      <w:r>
        <w:rPr/>
        <w:t xml:space="preserve">zna i rozpoznaje czynniki powodujące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GP.NIK505_U1: </w:t>
      </w:r>
    </w:p>
    <w:p>
      <w:pPr/>
      <w:r>
        <w:rPr/>
        <w:t xml:space="preserve">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GP.NIK505_K1: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GP.NIK505_K2: </w:t>
      </w:r>
    </w:p>
    <w:p>
      <w:pPr/>
      <w:r>
        <w:rPr/>
        <w:t xml:space="preserve">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2026-10-19T12:24:50+02:00</dcterms:created>
  <dcterms:modified xsi:type="dcterms:W3CDTF">2026-10-19T12:24:50+02:00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