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GK.SIJ3_W01: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GK.SIJ3_U01: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T1A_U02, T1A_U01, T1A_U06</w:t>
      </w:r>
    </w:p>
    <w:p>
      <w:pPr>
        <w:pStyle w:val="Heading3"/>
      </w:pPr>
      <w:bookmarkStart w:id="4" w:name="_Toc4"/>
      <w:r>
        <w:t>Profil ogólnoakademicki - kompetencje społeczne</w:t>
      </w:r>
      <w:bookmarkEnd w:id="4"/>
    </w:p>
    <w:p>
      <w:pPr>
        <w:keepNext w:val="1"/>
        <w:spacing w:after="10"/>
      </w:pPr>
      <w:r>
        <w:rPr>
          <w:b/>
          <w:bCs/>
        </w:rPr>
        <w:t xml:space="preserve">Efekt GK.SIJ3_K01: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2026-09-28T08:36:23+02:00</dcterms:created>
  <dcterms:modified xsi:type="dcterms:W3CDTF">2026-09-28T08:36:23+02:00</dcterms:modified>
</cp:coreProperties>
</file>

<file path=docProps/custom.xml><?xml version="1.0" encoding="utf-8"?>
<Properties xmlns="http://schemas.openxmlformats.org/officeDocument/2006/custom-properties" xmlns:vt="http://schemas.openxmlformats.org/officeDocument/2006/docPropsVTypes"/>
</file>