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uczestnictwo w wykładach - 30 godzin,
b) udział w konsultacjach - 5 godzin.
2) Praca własna studenta - 40 godzin, w tym:
a) przygotowanie do zajęć - 10 godzin,
b) przygotowanie do sprawdzianów - 30 godzin.
Razem 75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punkta ECTS - 35 godzin, w tym:
a) uczestnictwo w wykładach - 30 godzin,
b) udział w konsultacjach - 5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prawa cywilnego i administracyjnego, katastru nieruchomości oraz podstaw gospodarki gruntami na obszarach wiejskich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podstaw prawnych gospodarowania nieruchomościami Skarbu Państwa i jednostek samorządu terytorialnego, wywłaszczania nieruchomości oraz nabywania nieruchomości dla realizacji celów publicznych w trybie przepisów szczególnych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Kompetencje organów administracji publicznej w zakresie gospodarowania nieruchomościami. Zasoby nieruchomości. Cele publiczne w gospodarce nieruchomościami. 
Wywłaszczanie nieruchomości. Zwrot wywłaszczonych nieruchomości. Obrót nieruchomościami stanowiącymi własność Skarbu Państwa lub jednostek samorządu terytorialnego. Prawo pierwokupu nieruchomości. Pierwszeństwo nabycia nieruchomości. Podziały nieruchomości. Scalenie i podział nieruchomości. Opłaty adiacenckie. Nabywanie nieruchomości przez cudzoziemców. Uwłaszczenie osób prawnych. Przekształcenie prawa użytkowania wieczystego w prawo własności nieruchomości. Przepisy szczególne w gospodarce nieruchomościami.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w trakcie semestru, możliwość poprawiania jednego sprawdzianu.
Zaliczenie przedmiotu - ocena łączna - średnia arytmetyczna z dwóch pozytywnych ocen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Zofia Śmiałowska-Uberman – Kompendium wiedzy prawnej dla geodetów, Wyd. Gall 2003r. 2. Ryszard Hycner – Zagadnienia geodezyjno-prawne w gospodarce nieruchomościami – Wyd. Gall 2006r. 3. Tadeusz Woś – Wywłaszczenie i zwrot nieruchomości – Wyd. PWN 1998r. 4. Gerard Bieniek, Zenon Marmaj - Użytkowanie wieczyste w praktyce, problematyka prawna – ZCO 1999r. 5. Ustawa z dnia 21 sierpnia 1997r.o gospodarce nieruchomościami – Dz. U. z 2004r. nr 261, poz. 2603 z późn. zm. 6. Przepisy wykonawcze i standardy techniczne.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GK.SIK718_K01: </w:t>
      </w:r>
    </w:p>
    <w:p>
      <w:pPr/>
      <w:r>
        <w:rPr/>
        <w:t xml:space="preserve">rozumie potrzebę i zna możliwości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GK.SIK718_W01: </w:t>
      </w:r>
    </w:p>
    <w:p>
      <w:pPr/>
      <w:r>
        <w:rPr/>
        <w:t xml:space="preserve">ma podstawową wiedzę techniczną i prawną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T1A_W05, T1A_W06, T1A_W07,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GK.SIK718_U01: </w:t>
      </w:r>
    </w:p>
    <w:p>
      <w:pPr/>
      <w:r>
        <w:rPr/>
        <w:t xml:space="preserve">potrafi pracować indywidualnie i w zespole, potrafi korzystać z danych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T1A_U13, T1A_U14, T1A_U16, T1A_U07, T1A_U11, T1A_U12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2026-09-27T12:30:42+02:00</dcterms:created>
  <dcterms:modified xsi:type="dcterms:W3CDTF">2026-09-27T12:30:42+02:00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