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- 45 godzin, studia literatury - 10 godzin, praca nad zadaniem projektowym, konsultacje - 20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w:t>
      </w:r>
    </w:p>
    <w:p>
      <w:pPr>
        <w:keepNext w:val="1"/>
        <w:spacing w:after="10"/>
      </w:pPr>
      <w:r>
        <w:rPr>
          <w:b/>
          <w:bCs/>
        </w:rPr>
        <w:t xml:space="preserve">Treści kształcenia: </w:t>
      </w:r>
    </w:p>
    <w:p>
      <w:pPr>
        <w:spacing w:before="20" w:after="190"/>
      </w:pPr>
      <w:r>
        <w:rPr/>
        <w:t xml:space="preserve">Wykład: 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w:t>
      </w:r>
    </w:p>
    <w:p>
      <w:pPr>
        <w:keepNext w:val="1"/>
        <w:spacing w:after="10"/>
      </w:pPr>
      <w:r>
        <w:rPr>
          <w:b/>
          <w:bCs/>
        </w:rPr>
        <w:t xml:space="preserve">Metody oceny: </w:t>
      </w:r>
    </w:p>
    <w:p>
      <w:pPr>
        <w:spacing w:before="20" w:after="190"/>
      </w:pPr>
      <w:r>
        <w:rPr/>
        <w:t xml:space="preserve">Kolokwium z treści wykładów. Wykonanie ćwiczenia projektowego i jego ustne zaliczenie (obrona). Ocena zintegrowana z przedmiotu to średnia arytmetyczna z oceny z zaliczenia wykładów i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o cyklu życia obiektów budowlanych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IS_W14</w:t>
      </w:r>
    </w:p>
    <w:p>
      <w:pPr>
        <w:spacing w:before="20" w:after="190"/>
      </w:pPr>
      <w:r>
        <w:rPr>
          <w:b/>
          <w:bCs/>
        </w:rPr>
        <w:t xml:space="preserve">Powiązane efekty obszarowe: </w:t>
      </w:r>
      <w:r>
        <w:rPr/>
        <w:t xml:space="preserve">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prezentacji ustnej projekt remontu obiektu hydrotechnicznego. Posiada umiejętności samodzielnego planowania i interpretacji badań budowli inżynierii wodnej w aspekcie jej stanu technicznego. Potrafi przeprowadzać i przedstawić ocenę techniczną lub technologiczną lub funkconalną urządzeń stosowanych w inżynierii i gospodarce wodnej. Potrafi przeanalizować i ocenić działanie oraz obliczyć parametry eksploatacyjne urządzeń wodnych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IS_U06, IS_U08, IS_U13, IS_U22</w:t>
      </w:r>
    </w:p>
    <w:p>
      <w:pPr>
        <w:spacing w:before="20" w:after="190"/>
      </w:pPr>
      <w:r>
        <w:rPr>
          <w:b/>
          <w:bCs/>
        </w:rPr>
        <w:t xml:space="preserve">Powiązane efekty obszarowe: </w:t>
      </w:r>
      <w:r>
        <w:rPr/>
        <w:t xml:space="preserve">T2A_U17, T2A_U19, T2A_U10, T2A_U15, T2A_U18, T2A_U02, T2A_U03, T2A_U05, T2A_U09, T2A_U14, T2A_U06, T2A_U07, T2A_U08,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2026-09-05T14:11:45+02:00</dcterms:created>
  <dcterms:modified xsi:type="dcterms:W3CDTF">2026-09-05T14:11:45+02:00</dcterms:modified>
</cp:coreProperties>
</file>

<file path=docProps/custom.xml><?xml version="1.0" encoding="utf-8"?>
<Properties xmlns="http://schemas.openxmlformats.org/officeDocument/2006/custom-properties" xmlns:vt="http://schemas.openxmlformats.org/officeDocument/2006/docPropsVTypes"/>
</file>