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analizy matematycznej, w szczególności - w zakresie rachunku różniczkowego i całkowego funkcji wielu zmiennych, jego zastosowań  oraz elementów równań różniczkowych zwyczajnych.																		</w:t>
      </w:r>
    </w:p>
    <w:p>
      <w:pPr>
        <w:spacing w:before="60"/>
      </w:pPr>
      <w:r>
        <w:rPr/>
        <w:t xml:space="preserve">Weryfikacja: </w:t>
      </w:r>
    </w:p>
    <w:p>
      <w:pPr>
        <w:spacing w:before="20" w:after="190"/>
      </w:pPr>
      <w:r>
        <w:rPr/>
        <w:t xml:space="preserve">Odpowiedzi ustne na zajęciach; Kolokwium (W1 - W5, C1 - C5); Kolokwium (W6 - W11, C7 - C11); Egzamin pisemny (W1 - W15, C1 - C15)</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rozwiązywać podstawowe typy równań różniczkowych zwyczajnych opisujących zjawiska fizyczne. Potrafi wyznaczyć masę, momenty statyczne, momenty bezwładności obszarów płaskich i przestrzennych, umie stosować opis analityczny krzywych i powierzchni w R3, Potrafi wyznaczyć masę, momenty statyczne, momenty bezwładności krzywych i powierzchni , wyznaczyć pracę w polu sił, strumień pola przez powierzchnię zorientowaną. Umie korzystać z rachunku różniczkowego w celu rozwiązywania zadań optymalizacyjnych i aproksymacyjnych z wieloma zmiennymi.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Kolokwium (W1 - W5, C1 - C5); Kolokwium (W6 - W11, C7 - C11); Egzamin pisemny (W1 - W15, C1 - C15), aktywna postawa studenta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2026-05-02T19:25:31+02:00</dcterms:created>
  <dcterms:modified xsi:type="dcterms:W3CDTF">2026-05-02T19:25:31+02:00</dcterms:modified>
</cp:coreProperties>
</file>

<file path=docProps/custom.xml><?xml version="1.0" encoding="utf-8"?>
<Properties xmlns="http://schemas.openxmlformats.org/officeDocument/2006/custom-properties" xmlns:vt="http://schemas.openxmlformats.org/officeDocument/2006/docPropsVTypes"/>
</file>