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Safety and efficacy of cosmetic products – regulatory compliance </w:t>
      </w:r>
    </w:p>
    <w:p>
      <w:pPr>
        <w:keepNext w:val="1"/>
        <w:spacing w:after="10"/>
      </w:pPr>
      <w:r>
        <w:rPr>
          <w:b/>
          <w:bCs/>
        </w:rPr>
        <w:t xml:space="preserve">Koordynator przedmiotu: </w:t>
      </w:r>
    </w:p>
    <w:p>
      <w:pPr>
        <w:spacing w:before="20" w:after="190"/>
      </w:pPr>
      <w:r>
        <w:rPr/>
        <w:t xml:space="preserve">Mgr Aleksandra Sołyga-Żurek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zaliczenia i obecność na zaliczeniu – 20h
Razem nakład pracy studenta: 15h + 20h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Treści kształcenia: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Metody oceny: </w:t>
      </w:r>
    </w:p>
    <w:p>
      <w:pPr>
        <w:spacing w:before="20" w:after="190"/>
      </w:pPr>
      <w:r>
        <w:rPr/>
        <w:t xml:space="preserve">Written exam - open questions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Regulation (EC) No 1223/2009 of the European Parliament and of the Council of 30 November 2009 on cosmetic products.
2.	The SCCS’s notes of guidance for the testing of cosmetic ingredients and their safety evaluation – 7th revision. 14th December 2010.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2026-09-27T07:22:11+02:00</dcterms:created>
  <dcterms:modified xsi:type="dcterms:W3CDTF">2026-09-27T07:22:11+02:00</dcterms:modified>
</cp:coreProperties>
</file>

<file path=docProps/custom.xml><?xml version="1.0" encoding="utf-8"?>
<Properties xmlns="http://schemas.openxmlformats.org/officeDocument/2006/custom-properties" xmlns:vt="http://schemas.openxmlformats.org/officeDocument/2006/docPropsVTypes"/>
</file>