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Safety and efficacy of cosmetic products – regulatory compliance </w:t>
      </w:r>
    </w:p>
    <w:p>
      <w:pPr>
        <w:keepNext w:val="1"/>
        <w:spacing w:after="10"/>
      </w:pPr>
      <w:r>
        <w:rPr>
          <w:b/>
          <w:bCs/>
        </w:rPr>
        <w:t xml:space="preserve">Koordynator przedmiotu: </w:t>
      </w:r>
    </w:p>
    <w:p>
      <w:pPr>
        <w:spacing w:before="20" w:after="190"/>
      </w:pPr>
      <w:r>
        <w:rPr/>
        <w:t xml:space="preserve">Mgr Aleksandra Sołyga-Żurek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zaliczenia i obecność na zaliczeniu – 20h
Razem nakład pracy studenta: 15h + 20h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Treści kształcenia: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Metody oceny: </w:t>
      </w:r>
    </w:p>
    <w:p>
      <w:pPr>
        <w:spacing w:before="20" w:after="190"/>
      </w:pPr>
      <w:r>
        <w:rPr/>
        <w:t xml:space="preserve">Written exam - open questions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Regulation (EC) No 1223/2009 of the European Parliament and of the Council of 30 November 2009 on cosmetic products.
2.	The SCCS’s notes of guidance for the testing of cosmetic ingredients and their safety evaluation – 7th revision. 14th December 2010.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2026-10-18T21:51:33+02:00</dcterms:created>
  <dcterms:modified xsi:type="dcterms:W3CDTF">2026-10-18T21:51:33+02:00</dcterms:modified>
</cp:coreProperties>
</file>

<file path=docProps/custom.xml><?xml version="1.0" encoding="utf-8"?>
<Properties xmlns="http://schemas.openxmlformats.org/officeDocument/2006/custom-properties" xmlns:vt="http://schemas.openxmlformats.org/officeDocument/2006/docPropsVTypes"/>
</file>