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 konstrukcji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godz., w tym:
a) wykład -30 godz.,
b) konsultacje – 2 godz.
2) Praca własna studenta - praca nad projektami - 20 godz.
3) RAZEM –52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punktów ECTS – liczba godzin kontaktowych - 32 godz., w tym:
a) wykład -30 godz.,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-  praca nad projektami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analizy konstrukcji przestrzennych. Umiejętność formułowania warunków brzegowych I analizy konstrukcji. Świadomość ograniczeń w możliwościach obliczeniowych w dziedzinie konstrukcji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podstawami analizy naprężeń. Zagadnienia płaskie i przestrzenne, w konstrukcjach kratowych i cienkościennych. Drgania (częstości własne)  i drgania wymuszone konstrukcji przestrzennych. Typy konstrukcji przestrzennych. Przegląd podstawowych węzłów konstrukcji przestrzennych. Statyka węzła, rozkład sile w węźle. Konstrukcja i rekonstrukcja węzła konstrukcyjnego. Połączenie elementów  w węzłach, wpływ poszczególnych parametrów geometrycznych  na siły w węźle. Zastosowanie MES do analizy konstrukcji przestrzennych. Zagadnienie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domowe, prezentacja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Brzoska, Zb.: Statystyka i stateczność konstrukcji prętowych i cienkościennych, PWN, 1961.
2.	Literatura pozyskana z Internetu.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603_W1: </w:t>
      </w:r>
    </w:p>
    <w:p>
      <w:pPr/>
      <w:r>
        <w:rPr/>
        <w:t xml:space="preserve">Posiada wiedzę na temat budowy i problemów związanych z analiza konstrukcji przestrzennych, Posiada wiedzę z analizy naprężeń i identyfikacji ich w realnych problemach inżynierskich, Potrafi określić w szczególnych przypadkach zakres potrzebnej analizy, Potrafi określić podstawowe sposoby i zasady wzmacniania/rekonstrukcji obiektów przestrzennych. Zna podstawowe narzędzia inżynierskie potrzebne do przeprowadzenia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KMchtr2_W04, KMchtr2_W06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603_U1: </w:t>
      </w:r>
    </w:p>
    <w:p>
      <w:pPr/>
      <w:r>
        <w:rPr/>
        <w:t xml:space="preserve">Umie zastosować zasady analizy konstrukcji przestrzennych.
Posiada umiejętność formułowania warunków brzegowych I analizy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T2A_U10, T2A_U12,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2026-02-26T15:45:34+01:00</dcterms:created>
  <dcterms:modified xsi:type="dcterms:W3CDTF">2026-02-26T15:45:34+01:00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