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T2A_W04,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T2A_W04,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KMchtr2_U14, KMchtr2_U15</w:t>
      </w:r>
    </w:p>
    <w:p>
      <w:pPr>
        <w:spacing w:before="20" w:after="190"/>
      </w:pPr>
      <w:r>
        <w:rPr>
          <w:b/>
          <w:bCs/>
        </w:rPr>
        <w:t xml:space="preserve">Powiązane efekty obszarowe: </w:t>
      </w:r>
      <w:r>
        <w:rPr/>
        <w:t xml:space="preserve">T2A_U12, InzA_U02, InzA_U05, T2A_U18, T2A_U19, 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2026-09-27T21:15:29+02:00</dcterms:created>
  <dcterms:modified xsi:type="dcterms:W3CDTF">2026-09-27T21:15:29+02:00</dcterms:modified>
</cp:coreProperties>
</file>

<file path=docProps/custom.xml><?xml version="1.0" encoding="utf-8"?>
<Properties xmlns="http://schemas.openxmlformats.org/officeDocument/2006/custom-properties" xmlns:vt="http://schemas.openxmlformats.org/officeDocument/2006/docPropsVTypes"/>
</file>