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T2A_W04,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T2A_W04,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KMchtr2_U14, KMchtr2_U15</w:t>
      </w:r>
    </w:p>
    <w:p>
      <w:pPr>
        <w:spacing w:before="20" w:after="190"/>
      </w:pPr>
      <w:r>
        <w:rPr>
          <w:b/>
          <w:bCs/>
        </w:rPr>
        <w:t xml:space="preserve">Powiązane efekty obszarowe: </w:t>
      </w:r>
      <w:r>
        <w:rPr/>
        <w:t xml:space="preserve">T2A_U12, InzA_U02, InzA_U05, T2A_U18, T2A_U19, 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2026-10-19T16:09:06+02:00</dcterms:created>
  <dcterms:modified xsi:type="dcterms:W3CDTF">2026-10-19T16:09:06+02:00</dcterms:modified>
</cp:coreProperties>
</file>

<file path=docProps/custom.xml><?xml version="1.0" encoding="utf-8"?>
<Properties xmlns="http://schemas.openxmlformats.org/officeDocument/2006/custom-properties" xmlns:vt="http://schemas.openxmlformats.org/officeDocument/2006/docPropsVTypes"/>
</file>