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8 godz.;
b) laboratorium – 16 godz.;
c) konsultacje – 2 godz.
2) Praca własna studenta – 50 godz., w tym:
a) studia literaturowe – 25 godz.;
b) przygotowywanie się studenta do kolokwium – 5 godz.;
c) przygotowywanie się studenta do ćwiczeń laboratoryjnych – 20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8 godz.;
b) laboratorium – 16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 w tym:
a) laboratorium – 16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akwizycji, przetwarzania i analizy obrazów.
</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http://www.mechatronika-simr.home.pl/s_mech/przedm,1,show_plan,112,Przetwarzanie_i_Analiza_Obraz%C3%B3w_WLab.html  Materiały dydaktyczne są dostępne w internecie po zalogowaniu. Login i hasło studenci otrzymują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1150-MT000-IZP-0336_U1: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1150-MT000-IZP-0336_U2: </w:t>
      </w:r>
    </w:p>
    <w:p>
      <w:pPr/>
      <w:r>
        <w:rPr/>
        <w:t xml:space="preserve">Student, który zaliczył przedmiot potrafi budować podstawowe programy w środowiskach Matlab i LabVIEW służące do akwizycji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1150-MT000-IZP-0336_U3: </w:t>
      </w:r>
    </w:p>
    <w:p>
      <w:pPr/>
      <w:r>
        <w:rPr/>
        <w:t xml:space="preserve">Student, który zaliczył przedmiot potrafi budować programy w środowiskach Matlab i LabVIEW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KMchtr_U18</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1150-MT000-IZP-0336_K1: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2026-09-29T19:34:00+02:00</dcterms:created>
  <dcterms:modified xsi:type="dcterms:W3CDTF">2026-09-29T19:34:00+02:00</dcterms:modified>
</cp:coreProperties>
</file>

<file path=docProps/custom.xml><?xml version="1.0" encoding="utf-8"?>
<Properties xmlns="http://schemas.openxmlformats.org/officeDocument/2006/custom-properties" xmlns:vt="http://schemas.openxmlformats.org/officeDocument/2006/docPropsVTypes"/>
</file>