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inż. Radosław Pakowski, dr inż. Maciej Zawisza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1150-MT000-IZP-0212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 w tym:
a) projekt – 16 godz.;
b) konsultacje – 2 godz.;
2) Praca własna studenta – 40 godz. w tym:
a) bieżące przygotowanie studenta do zajęć – 12 godz.,
b) studia literaturowe – 8 godz.,
c) prace domowe – 4 godz.,
d) wykonanie obliczeń i dokumentacji technicznej – 16 godz.
3) RAZEM – 58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pkt. ECTS – liczba godzin kontaktowych – 18 godz., w tym:
a) projekt – 16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projekt – 20 godz.;
b) bieżące przygotowanie studenta do zajęć – 10 godz.,
c) prace domowe – 2 godz.,
d) wykonanie obliczeń i dokumentacji technicznej – 12 godz.
e) konsultacje –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jest na podstawie analizy wyników obliczeń (właściwe przeprowadzenie i opis obliczeń), poprawności wykonania rysunków technicznych (zgodność z obliczeniami, zasadami zapisu konstrukcji i zastosowanymi normami przedmiotowymi) oraz na podstawie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1150-MT000-IZP-0212_W2: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1150-MT000-IZP-0212_W3: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1150-MT000-IZP-0212_W4: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1150-MT000-IZP-0212_W5: </w:t>
      </w:r>
    </w:p>
    <w:p>
      <w:pPr/>
      <w:r>
        <w:rPr/>
        <w:t xml:space="preserve">Zna zasady projektowania mechanizmów śrubowych.</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1150-MT000-IZP-0212_W6: </w:t>
      </w:r>
    </w:p>
    <w:p>
      <w:pPr/>
      <w:r>
        <w:rPr/>
        <w:t xml:space="preserve">Zna zasady zapisu konstrukcji.</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pStyle w:val="Heading3"/>
      </w:pPr>
      <w:bookmarkStart w:id="3" w:name="_Toc3"/>
      <w:r>
        <w:t>Profil ogólnoakademicki - umiejętności</w:t>
      </w:r>
      <w:bookmarkEnd w:id="3"/>
    </w:p>
    <w:p>
      <w:pPr>
        <w:keepNext w:val="1"/>
        <w:spacing w:after="10"/>
      </w:pPr>
      <w:r>
        <w:rPr>
          <w:b/>
          <w:bCs/>
        </w:rPr>
        <w:t xml:space="preserve">Efekt 1150-MT000-IZP-0212_U1: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KMchtr_U01, KMchtr_U06, KMchtr_U09</w:t>
      </w:r>
    </w:p>
    <w:p>
      <w:pPr>
        <w:spacing w:before="20" w:after="190"/>
      </w:pPr>
      <w:r>
        <w:rPr>
          <w:b/>
          <w:bCs/>
        </w:rPr>
        <w:t xml:space="preserve">Powiązane efekty obszarowe: </w:t>
      </w:r>
      <w:r>
        <w:rPr/>
        <w:t xml:space="preserve">T1A_U01, T1A_U05, T1A_U09, T1A_U12, InzA_U03, InzA_U04, InzA_U05</w:t>
      </w:r>
    </w:p>
    <w:p>
      <w:pPr>
        <w:keepNext w:val="1"/>
        <w:spacing w:after="10"/>
      </w:pPr>
      <w:r>
        <w:rPr>
          <w:b/>
          <w:bCs/>
        </w:rPr>
        <w:t xml:space="preserve">Efekt 1150-MT000-IZP-0212_U2: </w:t>
      </w:r>
    </w:p>
    <w:p>
      <w:pPr/>
      <w:r>
        <w:rPr/>
        <w:t xml:space="preserve">Potrafi zaprojektować mechanizm śrubowy.</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KMchtr_U01, KMchtr_U06, KMchtr_U09</w:t>
      </w:r>
    </w:p>
    <w:p>
      <w:pPr>
        <w:spacing w:before="20" w:after="190"/>
      </w:pPr>
      <w:r>
        <w:rPr>
          <w:b/>
          <w:bCs/>
        </w:rPr>
        <w:t xml:space="preserve">Powiązane efekty obszarowe: </w:t>
      </w:r>
      <w:r>
        <w:rPr/>
        <w:t xml:space="preserve">T1A_U01, T1A_U05, T1A_U09, T1A_U12, InzA_U03, InzA_U04, InzA_U05</w:t>
      </w:r>
    </w:p>
    <w:p>
      <w:pPr>
        <w:keepNext w:val="1"/>
        <w:spacing w:after="10"/>
      </w:pPr>
      <w:r>
        <w:rPr>
          <w:b/>
          <w:bCs/>
        </w:rPr>
        <w:t xml:space="preserve">Efekt 1150-MT000-IZP-0212_U3: </w:t>
      </w:r>
    </w:p>
    <w:p>
      <w:pPr/>
      <w:r>
        <w:rPr/>
        <w:t xml:space="preserve">Potrafi właściwie zastosować zasady zapisu konstrukcji.</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KMchtr_U01, KMchtr_U06, KMchtr_U09</w:t>
      </w:r>
    </w:p>
    <w:p>
      <w:pPr>
        <w:spacing w:before="20" w:after="190"/>
      </w:pPr>
      <w:r>
        <w:rPr>
          <w:b/>
          <w:bCs/>
        </w:rPr>
        <w:t xml:space="preserve">Powiązane efekty obszarowe: </w:t>
      </w:r>
      <w:r>
        <w:rPr/>
        <w:t xml:space="preserve">T1A_U01, T1A_U05, T1A_U09, T1A_U12, InzA_U03, InzA_U04, InzA_U05</w:t>
      </w:r>
    </w:p>
    <w:p>
      <w:pPr>
        <w:pStyle w:val="Heading3"/>
      </w:pPr>
      <w:bookmarkStart w:id="4" w:name="_Toc4"/>
      <w:r>
        <w:t>Profil ogólnoakademicki - kompetencje społeczne</w:t>
      </w:r>
      <w:bookmarkEnd w:id="4"/>
    </w:p>
    <w:p>
      <w:pPr>
        <w:keepNext w:val="1"/>
        <w:spacing w:after="10"/>
      </w:pPr>
      <w:r>
        <w:rPr>
          <w:b/>
          <w:bCs/>
        </w:rPr>
        <w:t xml:space="preserve">Efekt 1150-MT000-IZP-0212_K1: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KMchtr_K05, KMchtr_K04</w:t>
      </w:r>
    </w:p>
    <w:p>
      <w:pPr>
        <w:spacing w:before="20" w:after="190"/>
      </w:pPr>
      <w:r>
        <w:rPr>
          <w:b/>
          <w:bCs/>
        </w:rPr>
        <w:t xml:space="preserve">Powiązane efekty obszarowe: </w:t>
      </w:r>
      <w:r>
        <w:rPr/>
        <w:t xml:space="preserve">T1A_K06, InzA_K02,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2026-10-19T13:04:05+02:00</dcterms:created>
  <dcterms:modified xsi:type="dcterms:W3CDTF">2026-10-19T13:04:05+02:00</dcterms:modified>
</cp:coreProperties>
</file>

<file path=docProps/custom.xml><?xml version="1.0" encoding="utf-8"?>
<Properties xmlns="http://schemas.openxmlformats.org/officeDocument/2006/custom-properties" xmlns:vt="http://schemas.openxmlformats.org/officeDocument/2006/docPropsVTypes"/>
</file>