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wibroakustyki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Dziurdź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1150-BMWIB-IZP-0321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37 godz., w tym:
a) wykład – 16 godz.;
b) laboratorium – 8 godz.;
c) konsultacje – 11 godz.;
d) egzamin – 2 godz.
2) Praca własna studenta – 70 godzin, w tym:
a) 15 godz. – bieżące przygotowanie studenta do wykładu,
b) 26 godz. – bieżące przygotowanie studenta do laboratorium,
c) 14 godz. – studia literaturowe,
d) 15 godz. – przygotowanie do egzaminu.
3) RAZEM – 107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1,5 punktów ECTS – liczba godzin kontaktowych – 37 godz., w tym:
a) wykład – 16 godz.;
b) laboratorium – 8 godz.;
c) konsultacje – 11 godz.;
d) 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punktów ECTS – 34 godz., w tym:
a) 8 godz. – ćwiczenia laboratoryjne,
b) 26 godz. – bieżące przygotowanie studenta do laboratorium.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Fizyka, Drgania mechaniczne, Pomiary Wielkości Dynamicznych, Podstawy Konstrukcji Maszyn, Napędy Mechaniczne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uporządkowanej wiedzy dotyczącej procesów wibroakustycznych zachodzących w maszynach wraz ze zrozumieniem zasad propagacji energii drgań i hałasu. Poznanie podstawowych zasad dotyczących relacji model matematyczny-sygnał rzeczywisty oraz uzyskanie umiejętności zidentyfikowania głównych źródeł energii wibroakustycznej.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Przegląd podstawowych zadań wibroakustyki związanych z zagadnieniami minimalizacji hałasu i drgań: maszyn, urządzeń, procesów technologicznych i transportowych, procesów kształtowania ich pożądanych charakterystyk oraz zagadnień diagnostyki wibroakustycznej.
2.	Relacja sygnał-model jako podstawa definiowania zadań wibroakustycznych.
3.	Modele wibroakustyczne typowych maszyn i zespołów. Metody inwersyjne i wzajemne w wibroakustyce maszyn. Praktyczne zagadnienia techniczne.
4.	Sposoby generacji energii wibroakustycznej. Główne źródła energii wibroakustycznej w maszynach i urządzeniach. Generacja i propagacja energii wibroakustycznej. Identyfikacja dróg przenoszenia energii. Metody minimalizacji hałaśliwości maszyn i urządzeń. Ograniczenie propagacji.
5.	Ograniczenia emisji na określone obszary środowiska. Hałas i drgania wybranych maszyn i urządzeń. Badania i analiza procesów wibroakustycznych zachodzących w maszynach i urządzeniach.
Laboratorium:
1.	Pomiary drgań maszyny.
2.	Pomiary hałasu maszyny.
3.	Wyznaczanie mocy akustycznej źródła hałasu.
4.	Lokalizacja źródeł hałasu metodą pomiarów skalarnych.
5.	Lokalizacja źródeł hałasu metodą wektorową z wykorzystaniem sondy natężenia dźwięku.
6.	Badanie cech materiałów dźwiękoizolacyjnych z wykorzystaniem rury impedancyjnej.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pisemny egzamin.
Laboratorium:
Każde ćwiczenie jest zaliczane na podstawie poprawnie wykonanego sprawozdania, przyjętego i ocenionego przez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1.Sztuka modelowania układów dynamicznych. Foster Morrison. 2.Modele dynamiki układów fizycznych dla inżynierów. Anna Czemplik. 3. 1.	Podręczniki i wykłady z Mechaniki i Teorii drgań.
2.	Cempel C., Diagnostyka wibro¬akustyczna maszyn, PWN, War¬szawa 1989.
3.	Engel Z., Ochrona środowiska przed drganiami i hałasem, PWN, Warszawa 1993.
4.	Lipowczan A., Podstawy pomiarów hałasu, GIG-LWzH, Warszawa-Katowice 1987.
5.	Morel J., Drgania maszyn i diagnostyka ich stanu technicznego, PTDT, Warszawa 1994.
6.	Monitorowanie stanu maszyn, Brüel&amp;Kjær, Nærum
7.	Pomiary dźwięków, Brüel&amp;Kjær, Nærum
8.	Wibracje i wstrząsy, Brüel&amp;Kjær, Nærum.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1150-BMWIB-IZP-0321_W1: </w:t>
      </w:r>
    </w:p>
    <w:p>
      <w:pPr/>
      <w:r>
        <w:rPr/>
        <w:t xml:space="preserve">Ma uporządkowaną, podbudowaną teoretycznie wiedzę o procesach wibroakustycznych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KMiBM_W15, KMiBM_W16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T1A_W08, InzA_W02,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1150-BMWIB-IZP-0321_W2: </w:t>
      </w:r>
    </w:p>
    <w:p>
      <w:pPr/>
      <w:r>
        <w:rPr/>
        <w:t xml:space="preserve">Rozumie podstawowe zasady propagacji energii drgań i hałasu w maszynach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1150-BMWIB-IZP-0321_U1: </w:t>
      </w:r>
    </w:p>
    <w:p>
      <w:pPr/>
      <w:r>
        <w:rPr/>
        <w:t xml:space="preserve">Zna podstawowe zasady dotyczące relacji model matematyczny-sygnał rzeczywisty; Potrafi zidentyfikować główne źródła energii wibroakustycznej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KMiBM_U13,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T1A_U02, T1A_U07, InzA_U01, T1A_U08,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1150-BMWIB-IZP-0321_K1: </w:t>
      </w:r>
    </w:p>
    <w:p>
      <w:pPr/>
      <w:r>
        <w:rPr/>
        <w:t xml:space="preserve">Umie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p>
      <w:pPr>
        <w:keepNext w:val="1"/>
        <w:spacing w:after="10"/>
      </w:pPr>
      <w:r>
        <w:rPr>
          <w:b/>
          <w:bCs/>
        </w:rPr>
        <w:t xml:space="preserve">Efekt 1150-MBWIB-IZP-0321_K2: </w:t>
      </w:r>
    </w:p>
    <w:p>
      <w:pPr/>
      <w:r>
        <w:rPr/>
        <w:t xml:space="preserve">Jest świadom zagrożeń wibroakustycznych występujących w środowisku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2026-09-27T07:18:27+02:00</dcterms:created>
  <dcterms:modified xsi:type="dcterms:W3CDTF">2026-09-27T07:18:27+02:00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