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1150-MB000-IZP-0203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- 20, w tym:
a) wykład - 8 godz.;
b) laboratorium - 8 godz.;
c) konsultacje - 2 godz.;
d) egzamin - 2 godz.;
2) Praca własna  - 34 godzin, w tym:
a) studia literaturowe - 10 godzin;
b) przygotowanie do egzaminu - 8 godzin;
c). przygotowanie do ćwiczeń laboratoryjnych - 8 godzin;
d) wykonanie sprawozdań - 8 godzin.
3) RAZEM –  54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w tym:
a) wykład – 8 godz.;
b) laboratorium – 8 godz.;
c) konsultacje – 2 godz.;
d) egzamin – 2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1,36 punktu ECTS – 34 godz., w tym:
a) studia literaturowe - 10 godzin;
b) przygotowanie do egzaminu - 8 godzin;
c). przygotowanie do ćwiczeń laboratoryjnych - 8 godzin;
d) wykonanie sprawozdań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1150-MB000-IZP-0203_W1: </w:t>
      </w:r>
    </w:p>
    <w:p>
      <w:pPr/>
      <w:r>
        <w:rPr/>
        <w:t xml:space="preserve">Posiada wiedzę o podstawowych zagadnieniach opisujących działanie maszyn elektrycznych prądu przemiennego jednofazowego i trójfazowego, stałego i urządzeń niewirujących. Posiada wiedzę o podstawowych zagadnieniach opisujących zjawiska w elementach półprzewodnikowych, materiały i ich właściwości. Zna zasady określania i budowania prostowników sterowanych i niesterowanych, układów pracy wzmacniaczy ze wspólnym emiterem, bazą i kolektorem. Zna zasady doboru przyrządów i metody pomiarowej.  Posiada wiedzę o urządzeniach zabezpieczających pracę maszyn elektrycznych</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efekty kierunkowe: </w:t>
      </w:r>
      <w:r>
        <w:rPr/>
        <w:t xml:space="preserve">KMiBM_W01, KMiBM_W02, KMiBM_W17, KMiBM_W18, KMiBM_W19, KMiBM_W20</w:t>
      </w:r>
    </w:p>
    <w:p>
      <w:pPr>
        <w:spacing w:before="20" w:after="190"/>
      </w:pPr>
      <w:r>
        <w:rPr>
          <w:b/>
          <w:bCs/>
        </w:rPr>
        <w:t xml:space="preserve">Powiązane efekty obszarowe: </w:t>
      </w:r>
      <w:r>
        <w:rPr/>
        <w:t xml:space="preserve">T1A_W01, T1A_W07, T1A_W01, 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1150-MB000-IZP-0203_U1: </w:t>
      </w:r>
    </w:p>
    <w:p>
      <w:pPr/>
      <w:r>
        <w:rPr/>
        <w:t xml:space="preserve">Zastosuje wiedzę o podstawowych zagadnieniach opisujących działanie maszyn elektrycznych prądu przemiennego jednofazowego i trójfazowego, stałego i urządzeń niewirujących. Zastosuje wiedzę o podstawowych zagadnieniach opisujących zjawiska w elementach półprzewodnikowych, materiały i ich właściwości. Zinterpretuje zasady określania i budowania prostowników sterowanych i niesterowanych, układów pracy wzmacniaczy ze wspólnym emiterem, bazą i kolektorem. </w:t>
      </w:r>
    </w:p>
    <w:p>
      <w:pPr>
        <w:spacing w:before="60"/>
      </w:pPr>
      <w:r>
        <w:rPr/>
        <w:t xml:space="preserve">Weryfikacja: </w:t>
      </w:r>
    </w:p>
    <w:p>
      <w:pPr>
        <w:spacing w:before="20" w:after="190"/>
      </w:pPr>
      <w:r>
        <w:rPr/>
        <w:t xml:space="preserve">Egzamin, sprawdzian ustny/pisemny przed dopuszczeniem do wykonywania ćwiczeń. Ocena sprawozdania z ćwiczenia laboratoryjnego.</w:t>
      </w:r>
    </w:p>
    <w:p>
      <w:pPr>
        <w:spacing w:before="20" w:after="190"/>
      </w:pPr>
      <w:r>
        <w:rPr>
          <w:b/>
          <w:bCs/>
        </w:rPr>
        <w:t xml:space="preserve">Powiązane efekty kierunkowe: </w:t>
      </w:r>
      <w:r>
        <w:rPr/>
        <w:t xml:space="preserve">KMiBM_U09, KMiBM_U14, KMiBM_U15, KMiBM_U16, KMiBM_U17, KMiBM_U18</w:t>
      </w:r>
    </w:p>
    <w:p>
      <w:pPr>
        <w:spacing w:before="20" w:after="190"/>
      </w:pPr>
      <w:r>
        <w:rPr>
          <w:b/>
          <w:bCs/>
        </w:rPr>
        <w:t xml:space="preserve">Powiązane efekty obszarowe: </w:t>
      </w:r>
      <w:r>
        <w:rPr/>
        <w:t xml:space="preserve">T1A_U13, T1A_U14, InzA_U03, InzA_U04, InzA_U07, InzA_U08, T1A_U12, T1A_U14, T1A_U16, InzA_U04, T1A_U11, T1A_U12, InzA_U06, InzA_U08, T1A_U08, T1A_U09, T1A_U10, T1A_U08, T1A_U09, T1A_U15, T1A_U10, T1A_U13, T1A_U16</w:t>
      </w:r>
    </w:p>
    <w:p>
      <w:pPr>
        <w:keepNext w:val="1"/>
        <w:spacing w:after="10"/>
      </w:pPr>
      <w:r>
        <w:rPr>
          <w:b/>
          <w:bCs/>
        </w:rPr>
        <w:t xml:space="preserve">Efekt 1150-MB000-IZP-0203_U2: </w:t>
      </w:r>
    </w:p>
    <w:p>
      <w:pPr/>
      <w:r>
        <w:rPr/>
        <w:t xml:space="preserve">Zastosuje zasady doboru przyrządów i metody pomiarowej. Umie zaplanować eksperyment badawczy i odnieść jego wyniki do teorii, a także opracować i przedstawić wyniki eksperymentów. Umie pracować indywidualnie i w zespole przy prowadzeniu badan i opracowywaniu sprawozdania.</w:t>
      </w:r>
    </w:p>
    <w:p>
      <w:pPr>
        <w:spacing w:before="60"/>
      </w:pPr>
      <w:r>
        <w:rPr/>
        <w:t xml:space="preserve">Weryfikacja: </w:t>
      </w:r>
    </w:p>
    <w:p>
      <w:pPr>
        <w:spacing w:before="20" w:after="190"/>
      </w:pPr>
      <w:r>
        <w:rPr/>
        <w:t xml:space="preserve">Sprawdzian ustny/pisemny przed dopuszczeniem do wykonywania ćwiczeń. Ocena sprawozdania z ćwiczenia laboratoryjnego.</w:t>
      </w:r>
    </w:p>
    <w:p>
      <w:pPr>
        <w:spacing w:before="20" w:after="190"/>
      </w:pPr>
      <w:r>
        <w:rPr>
          <w:b/>
          <w:bCs/>
        </w:rPr>
        <w:t xml:space="preserve">Powiązane efekty kierunkowe: </w:t>
      </w:r>
      <w:r>
        <w:rPr/>
        <w:t xml:space="preserve">KMiBM_U09, KMiBM_U12, KMiBM_U14, KMiBM_U15, KMiBM_U16, KMiBM_U17, KMiBM_U18</w:t>
      </w:r>
    </w:p>
    <w:p>
      <w:pPr>
        <w:spacing w:before="20" w:after="190"/>
      </w:pPr>
      <w:r>
        <w:rPr>
          <w:b/>
          <w:bCs/>
        </w:rPr>
        <w:t xml:space="preserve">Powiązane efekty obszarowe: </w:t>
      </w:r>
      <w:r>
        <w:rPr/>
        <w:t xml:space="preserve">T1A_U13, T1A_U14, InzA_U03, InzA_U04, InzA_U07, InzA_U08, T1A_U08, T1A_U09, T1A_U15, InzA_U01, T1A_U12, T1A_U14, T1A_U16, InzA_U04, 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1150-MB000-IZP-0203_K1: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sprawozdania z ćwiczenia laboratoryjnego</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2026-07-25T19:59:48+02:00</dcterms:created>
  <dcterms:modified xsi:type="dcterms:W3CDTF">2026-07-25T19:59:48+02:00</dcterms:modified>
</cp:coreProperties>
</file>

<file path=docProps/custom.xml><?xml version="1.0" encoding="utf-8"?>
<Properties xmlns="http://schemas.openxmlformats.org/officeDocument/2006/custom-properties" xmlns:vt="http://schemas.openxmlformats.org/officeDocument/2006/docPropsVTypes"/>
</file>