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dyplomowej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 Ma uporządkowaną wiedzę w zakresie mechatroniki pojazdów oraz orientuje się w jej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KMchtr_W19, KMchtr_W22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T1A_W10,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KMchtr_U11, KMchtr_U14, KMchtr_U21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InzA_U01, T1A_U14, InzA_U06, T1A_U07, T1A_U09, InzA_U08</w:t>
      </w:r>
    </w:p>
    <w:p>
      <w:pPr>
        <w:keepNext w:val="1"/>
        <w:spacing w:after="10"/>
      </w:pPr>
      <w:r>
        <w:rPr>
          <w:b/>
          <w:bCs/>
        </w:rPr>
        <w:t xml:space="preserve">Efekt 1150-MT000-ISP-0420_U2: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InzA_U03, InzA_U04, InzA_U05</w:t>
      </w:r>
    </w:p>
    <w:p>
      <w:pPr>
        <w:keepNext w:val="1"/>
        <w:spacing w:after="10"/>
      </w:pPr>
      <w:r>
        <w:rPr>
          <w:b/>
          <w:bCs/>
        </w:rPr>
        <w:t xml:space="preserve">Efekt 1150-MT000-ISP-0420_U3: </w:t>
      </w:r>
    </w:p>
    <w:p>
      <w:pPr/>
      <w:r>
        <w:rPr/>
        <w:t xml:space="preserve">Potrafi pozyskiwać informacje z literatury, bazy danych oraz innych źródeł w zakresie swojego kierunku studiów; potrafi ocenić działanie zasad i praw dotyczących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KMchtr_U03, KMchtr_U04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1150-MT000-ISP-0420_K1: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KMchtr_K02, KMchtr_K04,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2026-10-19T12:02:27+02:00</dcterms:created>
  <dcterms:modified xsi:type="dcterms:W3CDTF">2026-10-19T12:02:27+02:00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