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1150-MT00-ISP-0206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T1A_W01, T1A_W02</w:t>
      </w:r>
    </w:p>
    <w:p>
      <w:pPr>
        <w:keepNext w:val="1"/>
        <w:spacing w:after="10"/>
      </w:pPr>
      <w:r>
        <w:rPr>
          <w:b/>
          <w:bCs/>
        </w:rPr>
        <w:t xml:space="preserve">Efekt 1150-MT00-ISP-0206_W02: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T1A_W01, T1A_W02</w:t>
      </w:r>
    </w:p>
    <w:p>
      <w:pPr>
        <w:keepNext w:val="1"/>
        <w:spacing w:after="10"/>
      </w:pPr>
      <w:r>
        <w:rPr>
          <w:b/>
          <w:bCs/>
        </w:rPr>
        <w:t xml:space="preserve">Efekt 1150-MT00-ISP-0206_W03: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1150-MT00-ISP-0206_U02: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2026-09-27T15:54:55+02:00</dcterms:created>
  <dcterms:modified xsi:type="dcterms:W3CDTF">2026-09-27T15:54:55+02:00</dcterms:modified>
</cp:coreProperties>
</file>

<file path=docProps/custom.xml><?xml version="1.0" encoding="utf-8"?>
<Properties xmlns="http://schemas.openxmlformats.org/officeDocument/2006/custom-properties" xmlns:vt="http://schemas.openxmlformats.org/officeDocument/2006/docPropsVTypes"/>
</file>