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keepNext w:val="1"/>
        <w:spacing w:after="10"/>
      </w:pPr>
      <w:r>
        <w:rPr>
          <w:b/>
          <w:bCs/>
        </w:rPr>
        <w:t xml:space="preserve">Nazwa przedmiotu: </w:t>
      </w:r>
    </w:p>
    <w:p>
      <w:pPr>
        <w:spacing w:before="20" w:after="190"/>
      </w:pPr>
      <w:r>
        <w:rPr/>
        <w:t xml:space="preserve">Budowa nadwozi</w:t>
      </w:r>
    </w:p>
    <w:p>
      <w:pPr>
        <w:keepNext w:val="1"/>
        <w:spacing w:after="10"/>
      </w:pPr>
      <w:r>
        <w:rPr>
          <w:b/>
          <w:bCs/>
        </w:rPr>
        <w:t xml:space="preserve">Koordynator przedmiotu: </w:t>
      </w:r>
    </w:p>
    <w:p>
      <w:pPr>
        <w:spacing w:before="20" w:after="190"/>
      </w:pPr>
      <w:r>
        <w:rPr/>
        <w:t xml:space="preserve">mgr inż. Jan Gierej</w:t>
      </w:r>
    </w:p>
    <w:p>
      <w:pPr>
        <w:keepNext w:val="1"/>
        <w:spacing w:after="10"/>
      </w:pPr>
      <w:r>
        <w:rPr>
          <w:b/>
          <w:bCs/>
        </w:rPr>
        <w:t xml:space="preserve">Status przedmiotu: </w:t>
      </w:r>
    </w:p>
    <w:p>
      <w:pPr>
        <w:spacing w:before="20" w:after="190"/>
      </w:pPr>
      <w:r>
        <w:rPr/>
        <w:t xml:space="preserve">Obowiązkowy</w:t>
      </w:r>
    </w:p>
    <w:p>
      <w:pPr>
        <w:keepNext w:val="1"/>
        <w:spacing w:after="10"/>
      </w:pPr>
      <w:r>
        <w:rPr>
          <w:b/>
          <w:bCs/>
        </w:rPr>
        <w:t xml:space="preserve">Poziom kształcenia: </w:t>
      </w:r>
    </w:p>
    <w:p>
      <w:pPr>
        <w:spacing w:before="20" w:after="190"/>
      </w:pPr>
      <w:r>
        <w:rPr/>
        <w:t xml:space="preserve">Studia I stopnia</w:t>
      </w:r>
    </w:p>
    <w:p>
      <w:pPr>
        <w:keepNext w:val="1"/>
        <w:spacing w:after="10"/>
      </w:pPr>
      <w:r>
        <w:rPr>
          <w:b/>
          <w:bCs/>
        </w:rPr>
        <w:t xml:space="preserve">Program: </w:t>
      </w:r>
    </w:p>
    <w:p>
      <w:pPr>
        <w:spacing w:before="20" w:after="190"/>
      </w:pPr>
      <w:r>
        <w:rPr/>
        <w:t xml:space="preserve">Mechanika Pojazdów i Maszyn Roboczych</w:t>
      </w:r>
    </w:p>
    <w:p>
      <w:pPr>
        <w:keepNext w:val="1"/>
        <w:spacing w:after="10"/>
      </w:pPr>
      <w:r>
        <w:rPr>
          <w:b/>
          <w:bCs/>
        </w:rPr>
        <w:t xml:space="preserve">Grupa przedmiotów: </w:t>
      </w:r>
    </w:p>
    <w:p>
      <w:pPr>
        <w:spacing w:before="20" w:after="190"/>
      </w:pPr>
      <w:r>
        <w:rPr/>
        <w:t xml:space="preserve">Specjalnościowe</w:t>
      </w:r>
    </w:p>
    <w:p>
      <w:pPr>
        <w:keepNext w:val="1"/>
        <w:spacing w:after="10"/>
      </w:pPr>
      <w:r>
        <w:rPr>
          <w:b/>
          <w:bCs/>
        </w:rPr>
        <w:t xml:space="preserve">Kod przedmiotu: </w:t>
      </w:r>
    </w:p>
    <w:p>
      <w:pPr>
        <w:spacing w:before="20" w:after="190"/>
      </w:pPr>
      <w:r>
        <w:rPr/>
        <w:t xml:space="preserve">1150-MBNPO-ISP-0323</w:t>
      </w:r>
    </w:p>
    <w:p>
      <w:pPr>
        <w:keepNext w:val="1"/>
        <w:spacing w:after="10"/>
      </w:pPr>
      <w:r>
        <w:rPr>
          <w:b/>
          <w:bCs/>
        </w:rPr>
        <w:t xml:space="preserve">Semestr nominalny: </w:t>
      </w:r>
    </w:p>
    <w:p>
      <w:pPr>
        <w:spacing w:before="20" w:after="190"/>
      </w:pPr>
      <w:r>
        <w:rPr/>
        <w:t xml:space="preserve">6 / rok ak. 2018/2019</w:t>
      </w:r>
    </w:p>
    <w:p>
      <w:pPr>
        <w:keepNext w:val="1"/>
        <w:spacing w:after="10"/>
      </w:pPr>
      <w:r>
        <w:rPr>
          <w:b/>
          <w:bCs/>
        </w:rPr>
        <w:t xml:space="preserve">Liczba punktów ECTS: </w:t>
      </w:r>
    </w:p>
    <w:p>
      <w:pPr>
        <w:spacing w:before="20" w:after="190"/>
      </w:pPr>
      <w:r>
        <w:rPr/>
        <w:t xml:space="preserve">4</w:t>
      </w:r>
    </w:p>
    <w:p>
      <w:pPr>
        <w:keepNext w:val="1"/>
        <w:spacing w:after="10"/>
      </w:pPr>
      <w:r>
        <w:rPr>
          <w:b/>
          <w:bCs/>
        </w:rPr>
        <w:t xml:space="preserve">Liczba godzin pracy studenta związanych z osiągnięciem efektów uczenia się: </w:t>
      </w:r>
    </w:p>
    <w:p>
      <w:pPr>
        <w:spacing w:before="20" w:after="190"/>
      </w:pPr>
      <w:r>
        <w:rPr/>
        <w:t xml:space="preserve">1) Liczba godzin kontaktowych - 48, w tym:
a) wykład – 30 godz.;
b) laboratorium – 15 godz.;
c) konsultacje – 1 godz.;
d) kolokwium – 2 godz.;
2) Praca własna studenta – w tym:  55 godzin, w tym:
a)	 10 godz. – bieżące przygotowywanie się studenta do wykładu;
b)	 10 godz. – studia literaturowe;
c)	 10 godz. – przygotowywanie się studenta do kolokwium;
d)	 15 godz. – przygotowywanie się studenta do ćwiczeń;
e)	 10 godz. – wykonanie prac domowych.
3) RAZEM – 113 godz.
</w:t>
      </w:r>
    </w:p>
    <w:p>
      <w:pPr>
        <w:keepNext w:val="1"/>
        <w:spacing w:after="10"/>
      </w:pPr>
      <w:r>
        <w:rPr>
          <w:b/>
          <w:bCs/>
        </w:rPr>
        <w:t xml:space="preserve">Liczba punktów ECTS na zajęciach wymagających bezpośredniego udziału nauczycieli akademickich: </w:t>
      </w:r>
    </w:p>
    <w:p>
      <w:pPr>
        <w:spacing w:before="20" w:after="190"/>
      </w:pPr>
      <w:r>
        <w:rPr/>
        <w:t xml:space="preserve">2 punkty ECTS – liczba godzin kontaktowych - 48, w tym:
a) wykład – 30 godz.;
b) laboratorium – 15 godz.;
c) konsultacje – 1 godz.;
d) kolokwium – 2 godz.;
</w:t>
      </w:r>
    </w:p>
    <w:p>
      <w:pPr>
        <w:keepNext w:val="1"/>
        <w:spacing w:after="10"/>
      </w:pPr>
      <w:r>
        <w:rPr>
          <w:b/>
          <w:bCs/>
        </w:rPr>
        <w:t xml:space="preserve">Język prowadzenia zajęć: </w:t>
      </w:r>
    </w:p>
    <w:p>
      <w:pPr>
        <w:spacing w:before="20" w:after="190"/>
      </w:pPr>
      <w:r>
        <w:rPr/>
        <w:t xml:space="preserve">polski</w:t>
      </w:r>
    </w:p>
    <w:p>
      <w:pPr>
        <w:keepNext w:val="1"/>
        <w:spacing w:after="10"/>
      </w:pPr>
      <w:r>
        <w:rPr>
          <w:b/>
          <w:bCs/>
        </w:rPr>
        <w:t xml:space="preserve">Liczba punktów ECTS, którą student uzyskuje w ramach zajęć o charakterze praktycznym: </w:t>
      </w:r>
    </w:p>
    <w:p>
      <w:pPr>
        <w:spacing w:before="20" w:after="190"/>
      </w:pPr>
      <w:r>
        <w:rPr/>
        <w:t xml:space="preserve">2 punkty ECTS – 40 godz., w tym:
1) ćwiczenia laboratoryjne – 15 godz.;
2) 15 godz. – przygotowywanie się do ćwiczeń laboratoryjnych;
3) 10 godz. – wykonanie prac domowych.
</w:t>
      </w:r>
    </w:p>
    <w:p>
      <w:pPr>
        <w:keepNext w:val="1"/>
        <w:spacing w:after="10"/>
      </w:pPr>
      <w:r>
        <w:rPr>
          <w:b/>
          <w:bCs/>
        </w:rPr>
        <w:t xml:space="preserve">Formy zajęć i ich wymiar w semestrze: </w:t>
      </w:r>
    </w:p>
    <w:tbl>
      <w:tblGrid>
        <w:gridCol w:w="2200" w:type="dxa"/>
        <w:gridCol w:w="2200" w:type="dxa"/>
      </w:tblGrid>
      <w:tblPr>
        <w:tblW w:w="2500" w:type="auto"/>
        <w:tblBorders>
          <w:top w:val="single" w:sz="0" w:color="FFFFFF"/>
          <w:left w:val="single" w:sz="0" w:color="FFFFFF"/>
          <w:right w:val="single" w:sz="0" w:color="FFFFFF"/>
          <w:bottom w:val="single" w:sz="0" w:color="FFFFFF"/>
          <w:insideH w:val="single" w:sz="0" w:color="FFFFFF"/>
          <w:insideV w:val="single" w:sz="0" w:color="FFFFFF"/>
        </w:tblBorders>
      </w:tblP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Wykład: </w:t>
            </w:r>
          </w:p>
        </w:tc>
        <w:tc>
          <w:tcPr>
            <w:tcW w:w="2200" w:type="dxa"/>
          </w:tcPr>
          <w:p>
            <w:pPr/>
            <w:r>
              <w:rPr/>
              <w:t xml:space="preserve">30h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Ćwiczenia: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Laboratorium: </w:t>
            </w:r>
          </w:p>
        </w:tc>
        <w:tc>
          <w:tcPr>
            <w:tcW w:w="2200" w:type="dxa"/>
          </w:tcPr>
          <w:p>
            <w:pPr/>
            <w:r>
              <w:rPr/>
              <w:t xml:space="preserve">15h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Projekt: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Lekcje komputerowe: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</w:tbl>
    <w:p/>
    <w:p>
      <w:pPr>
        <w:keepNext w:val="1"/>
        <w:spacing w:after="10"/>
      </w:pPr>
      <w:r>
        <w:rPr>
          <w:b/>
          <w:bCs/>
        </w:rPr>
        <w:t xml:space="preserve">Wymagania wstępne: </w:t>
      </w:r>
    </w:p>
    <w:p>
      <w:pPr>
        <w:spacing w:before="20" w:after="190"/>
      </w:pPr>
      <w:r>
        <w:rPr/>
        <w:t xml:space="preserve">Podstawowa wiedza z podstaw konstrukcji maszyn i materiałów konstrukcyjnych (wysłuchanie wykładów: PKM i Materiały konstrukcyjne)
</w:t>
      </w:r>
    </w:p>
    <w:p>
      <w:pPr>
        <w:keepNext w:val="1"/>
        <w:spacing w:after="10"/>
      </w:pPr>
      <w:r>
        <w:rPr>
          <w:b/>
          <w:bCs/>
        </w:rPr>
        <w:t xml:space="preserve">Limit liczby studentów: </w:t>
      </w:r>
    </w:p>
    <w:p>
      <w:pPr>
        <w:spacing w:before="20" w:after="190"/>
      </w:pPr>
      <w:r>
        <w:rPr/>
        <w:t xml:space="preserve">zgodnie z zarządzeniem Rektora</w:t>
      </w:r>
    </w:p>
    <w:p>
      <w:pPr>
        <w:keepNext w:val="1"/>
        <w:spacing w:after="10"/>
      </w:pPr>
      <w:r>
        <w:rPr>
          <w:b/>
          <w:bCs/>
        </w:rPr>
        <w:t xml:space="preserve">Cel przedmiotu: </w:t>
      </w:r>
    </w:p>
    <w:p>
      <w:pPr>
        <w:spacing w:before="20" w:after="190"/>
      </w:pPr>
      <w:r>
        <w:rPr/>
        <w:t xml:space="preserve">Poznanie podstaw projektowania nadwozi pojazdów z wykorzystanie nowoczesnych materiałów konstrukcyjnych. Umiejętność doboru materiałów konstrukcyjnych i technologii produkcji do przewidywanej skali produkcji pojazdów.
</w:t>
      </w:r>
    </w:p>
    <w:p>
      <w:pPr>
        <w:keepNext w:val="1"/>
        <w:spacing w:after="10"/>
      </w:pPr>
      <w:r>
        <w:rPr>
          <w:b/>
          <w:bCs/>
        </w:rPr>
        <w:t xml:space="preserve">Treści kształcenia: </w:t>
      </w:r>
    </w:p>
    <w:p>
      <w:pPr>
        <w:spacing w:before="20" w:after="190"/>
      </w:pPr>
      <w:r>
        <w:rPr/>
        <w:t xml:space="preserve">Wykład. Podstawowe definicje i klasyfikacja nadwozi. Przepisy międzynarodowe, normy i badania dotyczące nadwozi pojazdów samochodowych. Aspekty ekonomiczne budowy nadwozi pojazdów samochodowych. Ergonomia i stawiane wymagania względem przeznaczenia pojazdu. Upakowanie - rozplanowanie i założenia wymiarowe nadwozia. Zagadnienia aerodynamiki w projektowaniu nadwozia pojazdu. Zapewnienie komfortu i bezpieczeństwa biernego kierowcy i pasażerom pojazdu. Budowa struktur nośnych nadwozi pojazdów. Funkcje elementów wyposażenia wewnętrznego. Główne cechy nadwozi samonośnych. Materiały konstrukcyjne do budowy nadwozi pojazdów. Technologie stosowane w budowie nadwozi.
Laboratorium. Prasy i tłoczniki do kształtowania elementów nadwozia. Sposoby łączenia elementów nadwozi. Lakierowanie nadwozi. Metody przetwórstwa termoplastów. Rodzaje przetwórstwa duroplastów.. 
</w:t>
      </w:r>
    </w:p>
    <w:p>
      <w:pPr>
        <w:keepNext w:val="1"/>
        <w:spacing w:after="10"/>
      </w:pPr>
      <w:r>
        <w:rPr>
          <w:b/>
          <w:bCs/>
        </w:rPr>
        <w:t xml:space="preserve">Metody oceny: </w:t>
      </w:r>
    </w:p>
    <w:p>
      <w:pPr>
        <w:spacing w:before="20" w:after="190"/>
      </w:pPr>
      <w:r>
        <w:rPr/>
        <w:t xml:space="preserve">Wykład: Zaliczany jest na podstawie pisemnego kolokwium zaliczeniowego.
Laboratorium: Przed rozpoczęciem ćwiczenia sprawdzane jest przygotowanie studentów (tzw. „wejściówka”). Każde ćwiczenie jest zaliczane na podstawie poprawnie wykonanego zadania, przyjętego i ocenionego przez prowadzącego dane ćwiczenie
</w:t>
      </w:r>
    </w:p>
    <w:p>
      <w:pPr>
        <w:keepNext w:val="1"/>
        <w:spacing w:after="10"/>
      </w:pPr>
      <w:r>
        <w:rPr>
          <w:b/>
          <w:bCs/>
        </w:rPr>
        <w:t xml:space="preserve">Egzamin: </w:t>
      </w:r>
    </w:p>
    <w:p>
      <w:pPr>
        <w:spacing w:before="20" w:after="190"/>
      </w:pPr>
      <w:r>
        <w:rPr/>
        <w:t xml:space="preserve">nie</w:t>
      </w:r>
    </w:p>
    <w:p>
      <w:pPr>
        <w:keepNext w:val="1"/>
        <w:spacing w:after="10"/>
      </w:pPr>
      <w:r>
        <w:rPr>
          <w:b/>
          <w:bCs/>
        </w:rPr>
        <w:t xml:space="preserve">Literatura: </w:t>
      </w:r>
    </w:p>
    <w:p>
      <w:pPr>
        <w:spacing w:before="20" w:after="190"/>
      </w:pPr>
      <w:r>
        <w:rPr/>
        <w:t xml:space="preserve">1.	Pawłowski J.: Nadwozia Samochodowe. Funkcja użytkowa i struktura nośna. WKiŁ 1978.
2.	Gierej J.: Internetowe materiały wykładowe dot. budowy nadwozi – Poradnik.
3.	Zieliński A.: Konstrukcja nadwozi samochodów osobowych i pochodnych. WKŁ 2008.
4.	Piechna J.: Podstawy aerodynamiki pojazdów. Warszawa: WKŁ 2000.
</w:t>
      </w:r>
    </w:p>
    <w:p>
      <w:pPr>
        <w:keepNext w:val="1"/>
        <w:spacing w:after="10"/>
      </w:pPr>
      <w:r>
        <w:rPr>
          <w:b/>
          <w:bCs/>
        </w:rPr>
        <w:t xml:space="preserve">Witryna www przedmiotu: </w:t>
      </w:r>
    </w:p>
    <w:p>
      <w:pPr>
        <w:spacing w:before="20" w:after="190"/>
      </w:pPr>
      <w:r>
        <w:rPr/>
        <w:t xml:space="preserve">www.edag.pl/pl/praca-i-kariera/materialy-szkoleniowe.</w:t>
      </w:r>
    </w:p>
    <w:p>
      <w:pPr>
        <w:keepNext w:val="1"/>
        <w:spacing w:after="10"/>
      </w:pPr>
      <w:r>
        <w:rPr>
          <w:b/>
          <w:bCs/>
        </w:rPr>
        <w:t xml:space="preserve">Uwagi: </w:t>
      </w:r>
    </w:p>
    <w:p>
      <w:pPr>
        <w:spacing w:before="20" w:after="190"/>
      </w:pPr>
      <w:r>
        <w:rPr/>
        <w:t xml:space="preserve">-</w:t>
      </w:r>
    </w:p>
    <w:p>
      <w:pPr>
        <w:pStyle w:val="Heading2"/>
      </w:pPr>
      <w:bookmarkStart w:id="1" w:name="_Toc1"/>
      <w:r>
        <w:t>Efekty przedmiotowe</w:t>
      </w:r>
      <w:bookmarkEnd w:id="1"/>
    </w:p>
    <w:p>
      <w:pPr>
        <w:pStyle w:val="Heading3"/>
      </w:pPr>
      <w:bookmarkStart w:id="2" w:name="_Toc2"/>
      <w:r>
        <w:t>Profil ogólnoakademicki - wiedza</w:t>
      </w:r>
      <w:bookmarkEnd w:id="2"/>
    </w:p>
    <w:p>
      <w:pPr>
        <w:keepNext w:val="1"/>
        <w:spacing w:after="10"/>
      </w:pPr>
      <w:r>
        <w:rPr>
          <w:b/>
          <w:bCs/>
        </w:rPr>
        <w:t xml:space="preserve">Efekt 1150-MBNPO-ISP-0323_W1: </w:t>
      </w:r>
    </w:p>
    <w:p>
      <w:pPr/>
      <w:r>
        <w:rPr/>
        <w:t xml:space="preserve">Ma podbudowaną teoretycznie wiedzę dotyczącą konstrukcji nadwozi pojazdów samochodowych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Kolokwium zaliczeniowe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KMiBM_W17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T1A_W02, T1A_W03, T1A_W06, InzA_W02, InzA_W05</w:t>
      </w:r>
    </w:p>
    <w:p>
      <w:pPr>
        <w:keepNext w:val="1"/>
        <w:spacing w:after="10"/>
      </w:pPr>
      <w:r>
        <w:rPr>
          <w:b/>
          <w:bCs/>
        </w:rPr>
        <w:t xml:space="preserve">Efekt 1150-MBNPO-ISP-0323_W2: </w:t>
      </w:r>
    </w:p>
    <w:p>
      <w:pPr/>
      <w:r>
        <w:rPr/>
        <w:t xml:space="preserve">Ma uporządkowaną wiedzę dotyczącą budowy nadwozi.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Kolokwium zaliczeniowe, ustny sprawdzian przed dopuszczeniem do wykonywania ćwiczeń, ocena wykonywania zadań w trakcie realizacji ćwiczeń.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KMiBM_W14, KMiBM_W17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T1A_W04, T1A_W05, InzA_W02, T1A_W02, T1A_W03, T1A_W06, InzA_W02, InzA_W05</w:t>
      </w:r>
    </w:p>
    <w:p>
      <w:pPr>
        <w:keepNext w:val="1"/>
        <w:spacing w:after="10"/>
      </w:pPr>
      <w:r>
        <w:rPr>
          <w:b/>
          <w:bCs/>
        </w:rPr>
        <w:t xml:space="preserve">Efekt 1150-MBNPO-ISP-0323_W3: </w:t>
      </w:r>
    </w:p>
    <w:p>
      <w:pPr/>
      <w:r>
        <w:rPr/>
        <w:t xml:space="preserve">Posiada wiedzę o konstrukcji współczesnych nadwozi pojazdów samochodowych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Kolokwium zaliczeniowe, ustny sprawdzian przed dopuszczeniem do wykonywania ćwiczeń, ocena wykonywania zadań w trakcie realizacji ćwiczeń.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KMiBM_W14, KMiBM_W17, KMiBM_W18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T1A_W04, T1A_W05, InzA_W02, T1A_W02, T1A_W03, T1A_W06, InzA_W02, InzA_W05, T1A_W02, T1A_W03, T1A_W07</w:t>
      </w:r>
    </w:p>
    <w:p>
      <w:pPr>
        <w:keepNext w:val="1"/>
        <w:spacing w:after="10"/>
      </w:pPr>
      <w:r>
        <w:rPr>
          <w:b/>
          <w:bCs/>
        </w:rPr>
        <w:t xml:space="preserve">Efekt 1150-MBNPO-ISP-0323_W4: </w:t>
      </w:r>
    </w:p>
    <w:p>
      <w:pPr/>
      <w:r>
        <w:rPr/>
        <w:t xml:space="preserve">Zna podstawowe etapy i techniki wytwarzania nadwozi pojazdów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Kolokwium zaliczeniowe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KMiBM_W14, KMiBM_W17, KMiBM_W18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T1A_W04, T1A_W05, InzA_W02, T1A_W02, T1A_W03, T1A_W06, InzA_W02, InzA_W05, T1A_W02, T1A_W03, T1A_W07</w:t>
      </w:r>
    </w:p>
    <w:p>
      <w:pPr>
        <w:keepNext w:val="1"/>
        <w:spacing w:after="10"/>
      </w:pPr>
      <w:r>
        <w:rPr>
          <w:b/>
          <w:bCs/>
        </w:rPr>
        <w:t xml:space="preserve">Efekt 1150-MBNPO-ISP-0323_W5: </w:t>
      </w:r>
    </w:p>
    <w:p>
      <w:pPr/>
      <w:r>
        <w:rPr/>
        <w:t xml:space="preserve">Posiada wiedzę nt. zasad planowania budowy nadwozia pojazdu z wyznaczeniem głównych założeń pojazdu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Kolokwium zaliczeniowe, ustny sprawdzian przed dopuszczeniem do wykonywania ćwiczeń, ocena wykonywania zadań w trakcie realizacji ćwiczeń.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KMiBM_W14, KMiBM_W17, KMiBM_W18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T1A_W04, T1A_W05, InzA_W02, T1A_W02, T1A_W03, T1A_W06, InzA_W02, InzA_W05, T1A_W02, T1A_W03, T1A_W07</w:t>
      </w:r>
    </w:p>
    <w:p>
      <w:pPr>
        <w:pStyle w:val="Heading3"/>
      </w:pPr>
      <w:bookmarkStart w:id="3" w:name="_Toc3"/>
      <w:r>
        <w:t>Profil ogólnoakademicki - umiejętności</w:t>
      </w:r>
      <w:bookmarkEnd w:id="3"/>
    </w:p>
    <w:p>
      <w:pPr>
        <w:keepNext w:val="1"/>
        <w:spacing w:after="10"/>
      </w:pPr>
      <w:r>
        <w:rPr>
          <w:b/>
          <w:bCs/>
        </w:rPr>
        <w:t xml:space="preserve">Efekt 1150-MBNPO-ISP-0323_U1: </w:t>
      </w:r>
    </w:p>
    <w:p>
      <w:pPr/>
      <w:r>
        <w:rPr/>
        <w:t xml:space="preserve">Potrafi sformułować stosowne kryteria projektowe dla danego etapu projektowania nadwozia.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Kolokwium zaliczeniowe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KMiBM_U15, KMiBM_U16, KMiBM_U17, KMiBM_U18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T1A_U11, T1A_U12, InzA_U06, InzA_U08, T1A_U08, T1A_U09, T1A_U10, T1A_U08, T1A_U09, T1A_U15, T1A_U10, T1A_U13, T1A_U16</w:t>
      </w:r>
    </w:p>
    <w:p>
      <w:pPr>
        <w:keepNext w:val="1"/>
        <w:spacing w:after="10"/>
      </w:pPr>
      <w:r>
        <w:rPr>
          <w:b/>
          <w:bCs/>
        </w:rPr>
        <w:t xml:space="preserve">Efekt 1150-MBNPO-ISP-0323_U2: </w:t>
      </w:r>
    </w:p>
    <w:p>
      <w:pPr/>
      <w:r>
        <w:rPr/>
        <w:t xml:space="preserve">Potrafi  ocenić wpływ założeń konstrukcyjnych struktury na klasę i rodzaj nadwozia pojazdu.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Kolokwium zaliczeniowe, ustny sprawdzian przed dopuszczeniem do wykonywania ćwiczeń, ocena wykonywania zadań w trakcie realizacji ćwiczeń.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KMiBM_U15, KMiBM_U16, KMiBM_U17, KMiBM_U18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T1A_U11, T1A_U12, InzA_U06, InzA_U08, T1A_U08, T1A_U09, T1A_U10, T1A_U08, T1A_U09, T1A_U15, T1A_U10, T1A_U13, T1A_U16</w:t>
      </w:r>
    </w:p>
    <w:p>
      <w:pPr>
        <w:keepNext w:val="1"/>
        <w:spacing w:after="10"/>
      </w:pPr>
      <w:r>
        <w:rPr>
          <w:b/>
          <w:bCs/>
        </w:rPr>
        <w:t xml:space="preserve">Efekt 1150-MBNPO-ISP-0323_U3: </w:t>
      </w:r>
    </w:p>
    <w:p>
      <w:pPr/>
      <w:r>
        <w:rPr/>
        <w:t xml:space="preserve">Ma świadomość przyjętych wstępnych założeń konstrukcyjnych nadwozia na klasę i rodzaj pojazdu.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Kolokwium zaliczeniowe, ustny sprawdzian przed dopuszczeniem do wykonywania ćwiczeń, ocena wykonywania zadań w trakcie realizacji ćwiczeń.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KMiBM_U15, KMiBM_U16, KMiBM_U17, KMiBM_U18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T1A_U11, T1A_U12, InzA_U06, InzA_U08, T1A_U08, T1A_U09, T1A_U10, T1A_U08, T1A_U09, T1A_U15, T1A_U10, T1A_U13, T1A_U16</w:t>
      </w:r>
    </w:p>
    <w:p>
      <w:pPr>
        <w:keepNext w:val="1"/>
        <w:spacing w:after="10"/>
      </w:pPr>
      <w:r>
        <w:rPr>
          <w:b/>
          <w:bCs/>
        </w:rPr>
        <w:t xml:space="preserve">Efekt 1150-MBNPO-ISP-0323_U4: </w:t>
      </w:r>
    </w:p>
    <w:p>
      <w:pPr/>
      <w:r>
        <w:rPr/>
        <w:t xml:space="preserve">Potrafi zaplanować budowę nadwozia pojazdu z wyznaczeniem głównych założeń pojazdu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Kolokwium zaliczeniowe, ustny sprawdzian przed dopuszczeniem do wykonywania ćwiczeń, ocena wykonywania zadań w trakcie realizacji ćwiczeń.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KMiBM_U18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T1A_U10, T1A_U13, T1A_U16</w:t>
      </w:r>
    </w:p>
    <w:p>
      <w:pPr>
        <w:pStyle w:val="Heading3"/>
      </w:pPr>
      <w:bookmarkStart w:id="4" w:name="_Toc4"/>
      <w:r>
        <w:t>Profil ogólnoakademicki - kompetencje społeczne</w:t>
      </w:r>
      <w:bookmarkEnd w:id="4"/>
    </w:p>
    <w:p>
      <w:pPr>
        <w:keepNext w:val="1"/>
        <w:spacing w:after="10"/>
      </w:pPr>
      <w:r>
        <w:rPr>
          <w:b/>
          <w:bCs/>
        </w:rPr>
        <w:t xml:space="preserve">Efekt 1150-MBNPO-ISP-0323_K1: </w:t>
      </w:r>
    </w:p>
    <w:p>
      <w:pPr/>
      <w:r>
        <w:rPr/>
        <w:t xml:space="preserve">Potrafi współdziałać i pracować w grupie przy realizacji ćwiczeń laboratoryjnych, przyjmując w niej różne role.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Ocena wykonywania zadań w trakcie realizacji ćwiczeń.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KMiBM_K04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T1A_K03, T1A_K04, InzA_K02</w:t>
      </w:r>
    </w:p>
    <w:sectPr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  <w:style w:type="paragraph" w:styleId="Heading2">
    <w:link w:val="Heading2Char"/>
    <w:name w:val="heading 2"/>
    <w:basedOn w:val="Normal"/>
    <w:pPr>
      <w:spacing w:before="40" w:after="190"/>
    </w:pPr>
    <w:rPr>
      <w:sz w:val="34"/>
      <w:szCs w:val="34"/>
      <w:b/>
      <w:bCs/>
    </w:rPr>
  </w:style>
  <w:style w:type="paragraph" w:styleId="Heading3">
    <w:link w:val="Heading3Char"/>
    <w:name w:val="heading 3"/>
    <w:basedOn w:val="Normal"/>
    <w:pPr>
      <w:spacing w:before="40" w:after="190"/>
    </w:pPr>
    <w:rPr>
      <w:sz w:val="26"/>
      <w:szCs w:val="26"/>
      <w:b/>
      <w:bCs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2026-09-29T19:34:50+02:00</dcterms:created>
  <dcterms:modified xsi:type="dcterms:W3CDTF">2026-09-29T19:34:50+02:00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