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30 godz.;
b) konsultacje – 1 godz.;
c) kolokwium – 1 godz.;
2) Praca własna studenta -  45 godzin, w tym:
a)	 20 godz. – bieżące przygotowywanie się studenta do wykładu;
b)	 20 godz. – studia literaturowe;
c)	 5 godz. – przygotowywanie się studenta do kolokwium;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– 30 godz.;
b) konsultacje – 1 godz.;
c) 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1150-MBMRC-ISP-0405_W1: </w:t>
      </w:r>
    </w:p>
    <w:p>
      <w:pPr/>
      <w:r>
        <w:rPr/>
        <w:t xml:space="preserve">Ma wiedzę o budowie maszyn roboczych i ich cyklach roboczych.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1150-MBMRC-ISP-0405_W2: </w:t>
      </w:r>
    </w:p>
    <w:p>
      <w:pPr/>
      <w:r>
        <w:rPr/>
        <w:t xml:space="preserve">Zna zasady budowy modeli funkcjonalnych maszyn roboczych i systemów interfejsu operator-maszyna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1150-MBMRC-ISP-0405_W3: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1150-MBMRC-ISP-0405_W4: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1150-MBMRC-ISP-0405_U1: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1150-MBMRC-ISP-0405_U2: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1150-MBMRC-ISP-0405_U3: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1150-MBMRC-ISP-0405_K1: </w:t>
      </w:r>
    </w:p>
    <w:p>
      <w:pPr/>
      <w:r>
        <w:rPr/>
        <w:t xml:space="preserve">Potrafi współdziałać i pracować w grupie przy realizacji zadania automatyzacji maszyny roboczej,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2026-07-27T06:28:06+02:00</dcterms:created>
  <dcterms:modified xsi:type="dcterms:W3CDTF">2026-07-27T06:28:06+02:00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