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1150-MBAMR-ISP-0406</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- 44 godzin, w tym:
a)	 15 godz. – bieżące przygotowywanie się studenta do wykładu;
b)	 15 godz. – studia literaturowe;
c)	 14 godz. – przygotowywanie się studenta do kolokwiów;
3) RAZEM –  76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-liczba godzin kontaktowych - 32., w tym:
a) wykład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1150-MBAMR-ISP-0406_W1: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1150-MBAMR-ISP-0406_W2: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1150-MBAMR-ISP-0406_U1: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1150-MBAMR-ISP-0406_U2: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1150-MBAMR-ISP-0406_K1: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efekty kierunkowe: </w:t>
      </w:r>
      <w:r>
        <w:rPr/>
        <w:t xml:space="preserve">KMiBM_K02, KMiBM_K03, KMiBM_K05</w:t>
      </w:r>
    </w:p>
    <w:p>
      <w:pPr>
        <w:spacing w:before="20" w:after="190"/>
      </w:pPr>
      <w:r>
        <w:rPr>
          <w:b/>
          <w:bCs/>
        </w:rPr>
        <w:t xml:space="preserve">Powiązane efekty obszarowe: </w:t>
      </w:r>
      <w:r>
        <w:rPr/>
        <w:t xml:space="preserve">T1A_K02, InzA_K01,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2026-09-27T06:20:39+02:00</dcterms:created>
  <dcterms:modified xsi:type="dcterms:W3CDTF">2026-09-27T06:20:39+02:00</dcterms:modified>
</cp:coreProperties>
</file>

<file path=docProps/custom.xml><?xml version="1.0" encoding="utf-8"?>
<Properties xmlns="http://schemas.openxmlformats.org/officeDocument/2006/custom-properties" xmlns:vt="http://schemas.openxmlformats.org/officeDocument/2006/docPropsVTypes"/>
</file>