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 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a) wykład – 30 godz.;
b) laboratorium – 30 godz.
c) konsultacje – 2 godz.;
d) egzamin – 2 godz.;
2) Praca własna studenta – 40 godzin, w tym:
a) 5 godz. – bieżące przygotowanie studenta do wykładu,
b) 15 godz. – bieżące przygotowanie studenta do laboratorium,
c) 10 godz. – studia literaturowe,
d) 10 godz. – przygotowanie do egzaminu.
3) RAZEM – 104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punktów ECTS – liczba godzin kontaktowych – 64 godz., w tym:
a) wykład – 30 godz.;
b) laboratorium – 30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30 godz. – ćwiczenia laboratoryjne,
b) 15 godz. – bieżące przygotowanie studenta do laboratorium.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1150-MB000-ISP-0317_W2: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T1A_U08, InzA_U01</w:t>
      </w:r>
    </w:p>
    <w:p>
      <w:pPr>
        <w:keepNext w:val="1"/>
        <w:spacing w:after="10"/>
      </w:pPr>
      <w:r>
        <w:rPr>
          <w:b/>
          <w:bCs/>
        </w:rPr>
        <w:t xml:space="preserve">Efekt 1150-MB000-ISP-0317_U2: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2026-09-27T22:26:31+02:00</dcterms:created>
  <dcterms:modified xsi:type="dcterms:W3CDTF">2026-09-27T22:26:31+02:00</dcterms:modified>
</cp:coreProperties>
</file>

<file path=docProps/custom.xml><?xml version="1.0" encoding="utf-8"?>
<Properties xmlns="http://schemas.openxmlformats.org/officeDocument/2006/custom-properties" xmlns:vt="http://schemas.openxmlformats.org/officeDocument/2006/docPropsVTypes"/>
</file>