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Struktury nośne i energochłonne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Seńko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11500-00000-ISP-0407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- 33, w tym:
a) wykład – 30 godz.;
b) konsultacje – 3 godz.
2) Praca własna studenta - 45 godzin, w tym:
a)	 15 godz. – bieżące przygotowywanie się studenta do wykładu;
b)	 15 godz. – studia literaturowe;
c)	 15 godz. – przygotowywanie się studenta do kolokwiów.
3) RAZEM – 78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– liczba godzin kontaktowych - 33, w tym:
a) wykład – 30 godz.;
b) konsultacje – 3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komputerowych metod wspomagania prac inżynierskich, wytrzymałości materiałów i podstaw konstrukcji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praktycznego wykorzystania technik obliczeniowych w procesie projektowania struktur energochłonnych pojazdów. Umiejętność doboru metod symulacyjnych do rodzaju projektowanych struktur energochłonnych pojazdu.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wiadomości o strukturach nośnych pojazdów. Zasady obliczeń struktury nośnej - wyważenie samochodu. Oszacowanie obciążeń eksploatacyjnych, przedstawienie elementarnych modeli drogi, wskaźnik dynamiczny. Elementarne modele obliczeniowe struktur nośnych. Projektowanie belek i węzłów cienkościennych. Struktury energochłonne - podstawy mechaniki zgniatania. Formy lokalnej utraty stateczności. Zgniatanie progresywne kolumn cienkościennych. Zasady projektowania struktur energochłonnych. Materiały piankowe, szkieletowe, typu plaster miodu i cienkościenne wypełnione. Elementarne modele obliczeniowe nadwozi - programy specjalistyczne i MES. Projektowanie na sztywność skrętną, giętną oraz stref energochłonnych. Wyznaczanie częstości drgań własnych i ocena dynamiczna nadwozia. Zaawansowane modele obliczeniowe i optymalizacyjne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zaliczany jest na podstawie 2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Huang, Vehicle Crash Mechanics. CRC Press LLC, 2002.
2. J.C. Brown, A.J. Robertson, S. Serpento Motor Vehicle Structures: Concepts and Fundamentals, Elsevier, 2001. 
3. N. Jones, Structural Impact, Cambridge University Press,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11500-00000-ISP-0407_W1: </w:t>
      </w:r>
    </w:p>
    <w:p>
      <w:pPr/>
      <w:r>
        <w:rPr/>
        <w:t xml:space="preserve">Ma podbudowaną teoretycznie wiedzę dotyczącą struktur nadwozi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T1A_W07, T1A_W03, T1A_W06, T1A_W08, InzA_W01, InzA_W03</w:t>
      </w:r>
    </w:p>
    <w:p>
      <w:pPr>
        <w:keepNext w:val="1"/>
        <w:spacing w:after="10"/>
      </w:pPr>
      <w:r>
        <w:rPr>
          <w:b/>
          <w:bCs/>
        </w:rPr>
        <w:t xml:space="preserve">Efekt 11500-00000-ISP-0407_W2: </w:t>
      </w:r>
    </w:p>
    <w:p>
      <w:pPr/>
      <w:r>
        <w:rPr/>
        <w:t xml:space="preserve">Posiada wiedzę o współczesnych technikach projektowania struktur nadwozi w praktyce inżynierskiej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T1A_W07, T1A_W03, T1A_W06, T1A_W08, InzA_W01, InzA_W03</w:t>
      </w:r>
    </w:p>
    <w:p>
      <w:pPr>
        <w:keepNext w:val="1"/>
        <w:spacing w:after="10"/>
      </w:pPr>
      <w:r>
        <w:rPr>
          <w:b/>
          <w:bCs/>
        </w:rPr>
        <w:t xml:space="preserve">Efekt 11500-00000-ISP-0407_W3: </w:t>
      </w:r>
    </w:p>
    <w:p>
      <w:pPr/>
      <w:r>
        <w:rPr/>
        <w:t xml:space="preserve">Zna podstawowe etapy projektowania struktur nadwozi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T1A_W07, T1A_W03, T1A_W06, T1A_W08, InzA_W01,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11500-00000-ISP-0407_U1: </w:t>
      </w:r>
    </w:p>
    <w:p>
      <w:pPr/>
      <w:r>
        <w:rPr/>
        <w:t xml:space="preserve">Potrafi przeprowadzić analizę zachowania się struktury nadwozia podczas wymuszeń od drogi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T1A_U09, T1A_U12, InzA_U04</w:t>
      </w:r>
    </w:p>
    <w:p>
      <w:pPr>
        <w:keepNext w:val="1"/>
        <w:spacing w:after="10"/>
      </w:pPr>
      <w:r>
        <w:rPr>
          <w:b/>
          <w:bCs/>
        </w:rPr>
        <w:t xml:space="preserve">Efekt Kolokwium sprawdzające: </w:t>
      </w:r>
    </w:p>
    <w:p>
      <w:pPr/>
      <w:r>
        <w:rPr/>
        <w:t xml:space="preserve">Potrafi wstępnie ocenić wpływ przyjętych założeń konstrukcyjnych na wytrzymałość struktury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11500-00000-ISP-0407_U3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T1A_U09, T1A_U12, InzA_U04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	11500-00000-ISP-0407_K1: </w:t>
      </w:r>
    </w:p>
    <w:p>
      <w:pPr/>
      <w:r>
        <w:rPr/>
        <w:t xml:space="preserve">Ma świadomość wagi przyjętych założeń dokładność obliczeń konstrukcji oraz konieczności weryfikacji przyjętych założeń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InzA_K01, 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2026-09-27T21:26:46+02:00</dcterms:created>
  <dcterms:modified xsi:type="dcterms:W3CDTF">2026-09-27T21:26:46+02:00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