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75 godz. projekt.
2) Praca własna studenta – 35 godz., w tym: 
a) studia literaturowe: 10 godz.;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– 75 godz. projekt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- 75 godz.;
b) praca nad przygotowaniem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K_U14, K_U19, K_U20, K_U21,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InzA_U04, T1A_U08, T1A_U09, T1A_U14, InzA_U06, T1A_U12, T1A_U16, T1A_U16, T1A_U07, T1A_U09, T1A_U10, InzA_U03, T1A_U11</w:t>
      </w:r>
    </w:p>
    <w:p>
      <w:pPr>
        <w:keepNext w:val="1"/>
        <w:spacing w:after="10"/>
      </w:pPr>
      <w:r>
        <w:rPr>
          <w:b/>
          <w:bCs/>
        </w:rPr>
        <w:t xml:space="preserve">Efekt 1150-PE000-ISP-0328_U2: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1150-PE000-ISP-0328_U3: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1150-PE000-ISP-0328_K1: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2026-09-27T08:27:26+02:00</dcterms:created>
  <dcterms:modified xsi:type="dcterms:W3CDTF">2026-09-27T08:27:26+02:00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