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c) egzamin – 2 godz.;
2) Praca własna studenta- 55 godzin, w tym:
a)	 15 godz. – bieżące przygotowywanie się studenta do wykładu;
b)	 20 godz. – studia literaturowe;
c)	 15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 K_W06, K_W10, K_W12, K_W17, K_W18</w:t>
      </w:r>
    </w:p>
    <w:p>
      <w:pPr>
        <w:spacing w:before="20" w:after="190"/>
      </w:pPr>
      <w:r>
        <w:rPr>
          <w:b/>
          <w:bCs/>
        </w:rPr>
        <w:t xml:space="preserve">Powiązane efekty obszarowe: </w:t>
      </w:r>
      <w:r>
        <w:rPr/>
        <w:t xml:space="preserve">T1A_W03, T1A_W03, T1A_W07, T1A_W03, T1A_W09, InzA_W04, T1A_W03, T1A_W03, T1A_W04, T1A_W07, T1A_W03, T1A_W04, T1A_W07</w:t>
      </w:r>
    </w:p>
    <w:p>
      <w:pPr>
        <w:keepNext w:val="1"/>
        <w:spacing w:after="10"/>
      </w:pPr>
      <w:r>
        <w:rPr>
          <w:b/>
          <w:bCs/>
        </w:rPr>
        <w:t xml:space="preserve">Efekt 1150-PE000-ISP-0211_W2: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K_W10</w:t>
      </w:r>
    </w:p>
    <w:p>
      <w:pPr>
        <w:spacing w:before="20" w:after="190"/>
      </w:pPr>
      <w:r>
        <w:rPr>
          <w:b/>
          <w:bCs/>
        </w:rPr>
        <w:t xml:space="preserve">Powiązane efekty obszarowe: </w:t>
      </w:r>
      <w:r>
        <w:rPr/>
        <w:t xml:space="preserve">T1A_W03, T1A_W09, InzA_W04</w:t>
      </w:r>
    </w:p>
    <w:p>
      <w:pPr>
        <w:keepNext w:val="1"/>
        <w:spacing w:after="10"/>
      </w:pPr>
      <w:r>
        <w:rPr>
          <w:b/>
          <w:bCs/>
        </w:rPr>
        <w:t xml:space="preserve">Efekt 1150-PE000-ISP-0211_W5: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T1A_W09, InzA_W04, T1A_W03</w:t>
      </w:r>
    </w:p>
    <w:p>
      <w:pPr>
        <w:keepNext w:val="1"/>
        <w:spacing w:after="10"/>
      </w:pPr>
      <w:r>
        <w:rPr>
          <w:b/>
          <w:bCs/>
        </w:rPr>
        <w:t xml:space="preserve">Efekt 1150-PE000-ISP-0211_W7: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T1A_W09, InzA_W04, T1A_W03</w:t>
      </w:r>
    </w:p>
    <w:p>
      <w:pPr>
        <w:pStyle w:val="Heading3"/>
      </w:pPr>
      <w:bookmarkStart w:id="3" w:name="_Toc3"/>
      <w:r>
        <w:t>Profil ogólnoakademicki - umiejętności</w:t>
      </w:r>
      <w:bookmarkEnd w:id="3"/>
    </w:p>
    <w:p>
      <w:pPr>
        <w:keepNext w:val="1"/>
        <w:spacing w:after="10"/>
      </w:pPr>
      <w:r>
        <w:rPr>
          <w:b/>
          <w:bCs/>
        </w:rPr>
        <w:t xml:space="preserve">Efekt 1150-PE000-ISP-0211_U1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K_U03, K_U09, K_U14, K_U17</w:t>
      </w:r>
    </w:p>
    <w:p>
      <w:pPr>
        <w:spacing w:before="20" w:after="190"/>
      </w:pPr>
      <w:r>
        <w:rPr>
          <w:b/>
          <w:bCs/>
        </w:rPr>
        <w:t xml:space="preserve">Powiązane efekty obszarowe: </w:t>
      </w:r>
      <w:r>
        <w:rPr/>
        <w:t xml:space="preserve">T1A_U03, T1A_U09, T1A_U12, InzA_U04, T1A_U14, InzA_U06, T1A_U01, T1A_U16</w:t>
      </w:r>
    </w:p>
    <w:p>
      <w:pPr>
        <w:keepNext w:val="1"/>
        <w:spacing w:after="10"/>
      </w:pPr>
      <w:r>
        <w:rPr>
          <w:b/>
          <w:bCs/>
        </w:rPr>
        <w:t xml:space="preserve">Efekt 1150-PE000-ISP-0211_U2: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pStyle w:val="Heading3"/>
      </w:pPr>
      <w:bookmarkStart w:id="4" w:name="_Toc4"/>
      <w:r>
        <w:t>Profil ogólnoakademicki - kompetencje społeczne</w:t>
      </w:r>
      <w:bookmarkEnd w:id="4"/>
    </w:p>
    <w:p>
      <w:pPr>
        <w:keepNext w:val="1"/>
        <w:spacing w:after="10"/>
      </w:pPr>
      <w:r>
        <w:rPr>
          <w:b/>
          <w:bCs/>
        </w:rPr>
        <w:t xml:space="preserve">Efekt 1150-PE000-ISP-0211_K1: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2026-10-19T12:49:39+02:00</dcterms:created>
  <dcterms:modified xsi:type="dcterms:W3CDTF">2026-10-19T12:49:39+02:00</dcterms:modified>
</cp:coreProperties>
</file>

<file path=docProps/custom.xml><?xml version="1.0" encoding="utf-8"?>
<Properties xmlns="http://schemas.openxmlformats.org/officeDocument/2006/custom-properties" xmlns:vt="http://schemas.openxmlformats.org/officeDocument/2006/docPropsVTypes"/>
</file>