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Szulim, dr hab. Jędrzej Mączak,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w tym:
a) wykład -15 godz.;
b) laboratorium- 15 godz.;
c) konsultacje - 2 godz.;
2. Praca własna studenta – 25 godzin, w tym:
a)	15 godz. – bieżące przygotowywanie się do laboratoriów i wykładów (analiza literatury),
b)	5 godz. – realizacja zadań domowych,
c)	5 godz. - przygotowywanie się do kolokwium ,
3) RAZEM – 57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- 32 godziny w tym:
a) wykład -15godz.;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15 godz. - ćwiczenia  laboratoryjne,
b) 10 godz. – przygotowywanie się do ćwiczeń laboratoryjnych,
c) 5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języka programowania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Wybrane architektury mikroprocesorów. Zasada działania i programowania układów mikroprocesorowych. Układy licznikowe w systemach wbudowanych. Praca z przetwornikami A/C i C/A oraz peryferiami analogowymi. Porty komunikacyjne UART, CAN. Tworzenie prostych interfejsów użytkownika. Współczesne narzędzia wspomagające pracę programisty. 
Laboratorium: Środowisko programistyczne i sprzęt - wprowadzenie do narzędzi. Konfiguracja mikrokontrolera - wprowadzenie do pracy na rejestrach. Porty wejścia-wyjścia. Liczniki. Porty komunikacyjne. Przetworniki A/C. Wprowadzenie do przerwań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wykonanych przez studentów w ramach prac domowych programów komputerowych i/lub kolokwia. 
Laboratorium: Sprawdziany uzyskanej wiedzy (wejściówki), ocena jakości oprogramowania napisanego podczas zajęć. Ocena końcowa z laboratorium jest średnią oceną ze wszystkich ćwiczeń. 
Ocena łączna: średnia ocena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1150-00000-ISP-0223_W1: </w:t>
      </w:r>
    </w:p>
    <w:p>
      <w:pPr/>
      <w:r>
        <w:rPr/>
        <w:t xml:space="preserve">Student posiada podstawową wiedzę na temat elementów składowych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1150-00000-ISP-0223_W2: </w:t>
      </w:r>
    </w:p>
    <w:p>
      <w:pPr/>
      <w:r>
        <w:rPr/>
        <w:t xml:space="preserve">Student rozumie istotę działania mikrokontrolera oraz przepływ informacji jaki w nim następuje.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1150-00000-ISP-0223_W3: </w:t>
      </w:r>
    </w:p>
    <w:p>
      <w:pPr/>
      <w:r>
        <w:rPr/>
        <w:t xml:space="preserve">Student posiada podstawową wiedzę z zakresu narzędzi inżynierskich służących do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odbywa się na zajęciach laboratoryjnych poprzez ocenę postępu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1150-00000-ISP-0223_U1: </w:t>
      </w:r>
    </w:p>
    <w:p>
      <w:pPr/>
      <w:r>
        <w:rPr/>
        <w:t xml:space="preserve">Student potrafi zrealizować postawione przed nim zadanie w postaci oprogramowania wybranego modułu peryferyjnego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K_U10, K_U12,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T1A_U06, T1A_U05, T1A_U07, T1A_U08, T1A_U09, T1A_U07, T1A_U08, T1A_U01, T1A_U16, T1A_U07, T1A_U09</w:t>
      </w:r>
    </w:p>
    <w:p>
      <w:pPr>
        <w:keepNext w:val="1"/>
        <w:spacing w:after="10"/>
      </w:pPr>
      <w:r>
        <w:rPr>
          <w:b/>
          <w:bCs/>
        </w:rPr>
        <w:t xml:space="preserve">Efekt 1150-00000-ISP-0223_U2: </w:t>
      </w:r>
    </w:p>
    <w:p>
      <w:pPr/>
      <w:r>
        <w:rPr/>
        <w:t xml:space="preserve">Student potrafi posługiwać się wybranymi narzędziami inżynierskimi służącymi do programowania oraz obserwacji wykonywania programu przez mikrokontroler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na zajęciach laboratoryjnych poprzez realizacje zadań wskazanych w instrukcji dołączonej do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1150-00000-ISP-0223_U3: </w:t>
      </w:r>
    </w:p>
    <w:p>
      <w:pPr/>
      <w:r>
        <w:rPr/>
        <w:t xml:space="preserve">Student potrafi prezentować wyniki oraz formułować wnioski płynące z przeprowadzonego ćwiczenia.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działania programu.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1150-00000-ISP-0223_K1: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2026-05-07T18:38:12+02:00</dcterms:created>
  <dcterms:modified xsi:type="dcterms:W3CDTF">2026-05-07T18:38:12+02:00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