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i/lub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P_W01: </w:t>
      </w:r>
    </w:p>
    <w:p>
      <w:pPr/>
      <w:r>
        <w:rPr/>
        <w:t xml:space="preserve">Posiada wiedzę o metodzie projektowania napędów elektrycznych I hybrydowych przez wykorzystanie modeli matematycznych komponentów napędu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P_W02: </w:t>
      </w:r>
    </w:p>
    <w:p>
      <w:pPr/>
      <w:r>
        <w:rPr/>
        <w:t xml:space="preserve">Posiada wiedzę o modelach matematycznych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P_W03: </w:t>
      </w:r>
    </w:p>
    <w:p>
      <w:pPr/>
      <w:r>
        <w:rPr/>
        <w:t xml:space="preserve">Posiada wiedzę o zasadach wykorzystania modeli matematycznych komponentów napędu przy budowie modelu obliczeniowego układu napędowego.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P_U01: </w:t>
      </w:r>
    </w:p>
    <w:p>
      <w:pPr/>
      <w:r>
        <w:rPr/>
        <w:t xml:space="preserve">Potrafi poprawnie zapisać matematyczne modele wybranych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T1A_U14, InzA_U06</w:t>
      </w:r>
    </w:p>
    <w:p>
      <w:pPr>
        <w:keepNext w:val="1"/>
        <w:spacing w:after="10"/>
      </w:pPr>
      <w:r>
        <w:rPr>
          <w:b/>
          <w:bCs/>
        </w:rPr>
        <w:t xml:space="preserve">Efekt P_U02: </w:t>
      </w:r>
    </w:p>
    <w:p>
      <w:pPr/>
      <w:r>
        <w:rPr/>
        <w:t xml:space="preserve">Potrafi zbudować model obliczeniowy układu napędowego i na jego podstawie przeprowadzić komputerowe badania symulacyjne.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P_U03: </w:t>
      </w:r>
    </w:p>
    <w:p>
      <w:pPr/>
      <w:r>
        <w:rPr/>
        <w:t xml:space="preserve">Potrafi przeprowadzić analizy komputerowe i wyznaczyć odpowiednie charakterystyki na podstawie których potrafi ocenić strukturę napędową.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P_K01: </w:t>
      </w:r>
    </w:p>
    <w:p>
      <w:pPr/>
      <w:r>
        <w:rPr/>
        <w:t xml:space="preserve">Umie pracować indywidualnie i w zespole.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2025-12-25T07:58:30+01:00</dcterms:created>
  <dcterms:modified xsi:type="dcterms:W3CDTF">2025-12-25T07:58:30+01:00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