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inżynierii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Aleksandra Waszczuk-Młyńska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laboratorium-15 godz.;
2) Praca własna studenta – 10 godz., bieżące przygotowywanie się studenta do ćwiczeń i studia literaturowe.
3) RAZEM – 25 godz..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punktu ECTS – liczba godzin kontaktowych: laboratorium-15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1) ćwiczenia  laboratoryjne  – 15 godz.
2) przygotowywanie się do ćwiczeń laboratoryjnych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Windows, podstaw opisu algorytmów i budowy diagramów blokowych.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podstawowych technik programowania związanych z budową aplikacji analizujących sygnały i dane pomiarowe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języka Matlab w zadaniach analizy sygnałów
Zagadnienia:
1. Interfejs środowiska Matlab, struktury danych i podstawowe operacje na nich 
2. Obiektowy system graficzny środowiska Matlab
3. Budowa procedur i funkcji 
4. Operacje na plikach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WWW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otrzymują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1150-PE000-ISP-0125_W1: </w:t>
      </w:r>
    </w:p>
    <w:p>
      <w:pPr/>
      <w:r>
        <w:rPr/>
        <w:t xml:space="preserve">Posiada podstawową wiedzę na temat komputerowego wspomagania prac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1150-PE000-ISP-0125_U1: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1150-PE000-ISP-0125_U2: </w:t>
      </w:r>
    </w:p>
    <w:p>
      <w:pPr/>
      <w:r>
        <w:rPr/>
        <w:t xml:space="preserve">Potrafi budować podstawowe programy komputerowe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1150-PE000-ISP-0125_K1: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2025-07-04T14:44:57+02:00</dcterms:created>
  <dcterms:modified xsi:type="dcterms:W3CDTF">2025-07-04T14:44:57+02:00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