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Andrzej Brzeziński, mgr inż. Katarzyna Kleszczewska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INZKO2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ćwiczenia projektowe 20, przygotowanie do ćwiczeń, wykonanie projektu i udział w konsultacjach 40, zapoznanie się  z literaturą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20,
konsultacje projektów 5.
Razem 25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20, przygotowanie do ćwiczeń, wykonanie projektu i udział w konsultacjach 40. Razem 60 =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planowania systemów transportowych i ich infrastruktury oraz projektowania obiektów inżynierii komunikacyjnej tj. dróg samochodowych i dróg szynowych. -Zdobycie umiejętności projektowania najprostszych obiektów komunikacyjnych takich jak droga lokalna, parking, odcinek drogi szynowej. -Przekazanie informacji niezbędnych do przemyślanego wyboru specjalności na dalszych studiach. -Stworzenie przyszłym studentom specjalności Inżynieria Komunikacyjna wyjściowej bazy wiedzy dla przedmiotów specjalistycznych studiowanych na dalszych semestrach.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(20 godz.): 
1. Projekt drogi samochodowej zamiejskiej klasy Z (10 godz.). 
2. Projekt trasy i konstrukcji drogi szynowej - kolejowej, tramwajowej (6 godz.). 
3. Laboratorium komputerowe - symulacja ruchu (4 godz.).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 w sem. 3 - zaliczenie na podstawie wykonanego raportu i przedstawionej prezentacji; w sem. 4 - zaliczenie dwóch projektów związanych z drogami kołowymi i szynowymi, gdzie ocena końcowa jest ustalona jako średnia ważona ocen cząstkowych, z których każda musi być pozytywna. Ocena łączna jest ustalana dla każdego semestru oddzielnie: na sem. 3 jako średnia ważona z egzaminu (waga 0,50) i z ćwiczeń (waga 0,50); na sem. 4 na podstawie ocen z projektów (waga 0,60 dla projektu z dróg kołowych i 0,40 dla projektu z dróg szynowych).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INZK02W1: </w:t>
      </w:r>
    </w:p>
    <w:p>
      <w:pPr/>
      <w:r>
        <w:rPr/>
        <w:t xml:space="preserve">Zna podstawy projektowania i analizy typowych obiektów komunikacyjnych. Ma podstawową wiedzę w zakresie zagadnień powiązanych z urbanistyką i transportem. Zna podstawowe normy, rozporządzenia oraz wytyczne projektowania, wykonywania i eksploatacji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K1_W19,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INZK02U1: </w:t>
      </w:r>
    </w:p>
    <w:p>
      <w:pPr/>
      <w:r>
        <w:rPr/>
        <w:t xml:space="preserve">Umie zaprojektować wybrane elementy i proste konstrukcje dorgowe. Potrafi korzystać z podstawowych norm, rozporządzeń oraz wytycznych projektowania, wykonywania i eksploatacji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INZK02K1: </w:t>
      </w:r>
    </w:p>
    <w:p>
      <w:pPr/>
      <w:r>
        <w:rPr/>
        <w:t xml:space="preserve">Potrafi pracować samodzielnie i współpracować w zespole nad wyznaczonym zadaniem, określać priorytety służące reazlizacji zadań.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2026-09-27T21:19:07+02:00</dcterms:created>
  <dcterms:modified xsi:type="dcterms:W3CDTF">2026-09-27T21:19:07+02:00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