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(20 godz.): 
1. Projekt drogi samochodowej zamiejskiej klasy Z (10 godz.). 
2. Projekt trasy i konstrukcji drogi szynowej - kolejowej, tramwajowej (6 godz.). 
3.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INZK02W1: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INZK02U1: </w:t>
      </w:r>
    </w:p>
    <w:p>
      <w:pPr/>
      <w:r>
        <w:rPr/>
        <w:t xml:space="preserve">Umie zaprojektować wybrane elementy i proste konstrukcje dorgowe.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INZK02K1: </w:t>
      </w:r>
    </w:p>
    <w:p>
      <w:pPr/>
      <w:r>
        <w:rPr/>
        <w:t xml:space="preserve">Potrafi pracować samodzielnie i współpracować w zespole nad wyznaczonym zadaniem, określać priorytety służące reazlizacji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2026-10-19T15:21:29+02:00</dcterms:created>
  <dcterms:modified xsi:type="dcterms:W3CDTF">2026-10-19T15:21:29+02:00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