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 2 - przedmiot w wersjach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zależenie od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HESWY2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godz.= 2 ECTS: obecność na zajęciach 20 godz., praca własna studenta 30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20 godz.= 1 ECTS: obecność na zajęciach 20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Rozumienia technicznych i pozatechnicznych aspektów działalności człowieka. &lt;br&gt;
Inspirowanie do samokształcenia.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właściwe dla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właściwe dla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właściwy dla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HESWY2W1: </w:t>
      </w:r>
    </w:p>
    <w:p>
      <w:pPr/>
      <w:r>
        <w:rPr/>
        <w:t xml:space="preserve">							właściwy dla przedmiotu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właściwy dla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HESWY2K1: </w:t>
      </w:r>
    </w:p>
    <w:p>
      <w:pPr/>
      <w:r>
        <w:rPr/>
        <w:t xml:space="preserve">Rozumienie technicznych i pozatechnicznych aspektów działalności człowieka. Inspirowanie do samokształcenia 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właściwy dla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2026-09-29T18:49:26+02:00</dcterms:created>
  <dcterms:modified xsi:type="dcterms:W3CDTF">2026-09-29T18:49:26+02:00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