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kierunkowe do wyboru szt.3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3 x 2 ECTS = 6 ECTS: godziny pracy studenta zgodnie z opisem wybranego przedmiotu.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 x 30 godz. = 90 godz. = 3,5 ECTS: 3 przedmioty po 30 godzin zajęć z nauczycielem akademickim każdy.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Zgodnie z opisem wybranego przedmiotu.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Wymagania wstępne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os/grupę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szczegółowej wiedzy związanej z wybranymi zagadnieniami z zakresu budownictwa zgodnie z zainteresowaniami studenta, przedstawienie trendów rozwojowych w budownictwie i kształtowanie umiejętności rozumienia technicznych i pozatechnicznych aspektów działalności inżynierskiej.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 : </w:t>
      </w:r>
    </w:p>
    <w:p>
      <w:pPr/>
      <w:r>
        <w:rPr/>
        <w:t xml:space="preserve">																					Przekazanie szczegółowej wiedzy związanej z wybranymi zagadnieniami z zakresu budownictwa zgodnie z zainteresowaniami studenta, przedstawienie trendów rozwojowych w budownictwie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właściwa dla wybranego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 : </w:t>
      </w:r>
    </w:p>
    <w:p>
      <w:pPr/>
      <w:r>
        <w:rPr/>
        <w:t xml:space="preserve">																					Kształtowanie umiejętności rozumienia technicznych i pozatechnicznych aspektów działalności inżynierskiej.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właściwa dla wybranego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2026-10-19T15:37:55+02:00</dcterms:created>
  <dcterms:modified xsi:type="dcterms:W3CDTF">2026-10-19T15:37:55+02:00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