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MLIKOL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10 godz. praca własna nad projektem, 10 godz.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 30 godz. = 1 ECTS: 15 godz. wykład, 15 godz. ćwiczenia projektowe.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ćwiczenia projektowe, 10 godz. praca własna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 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 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
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MLIKOLW1: </w:t>
      </w:r>
    </w:p>
    <w:p>
      <w:pPr/>
      <w:r>
        <w:rPr/>
        <w:t xml:space="preserve">posiada wiedzę o szczególnych rozwiązaniach w zakresie technologii i organizacji modernizacji linii kolejowych koniecznych zarówno ze względu na prowadzenie prac modernizacyjnych podczas prowadzenia eksploatacji na sąsiednim torze (sąsiednich torach) oraz ze względu na szczególne uwarunkowania prawne zarówno wynikające z prawa polskiego jak i prawa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MLIKOLU1: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keepNext w:val="1"/>
        <w:spacing w:after="10"/>
      </w:pPr>
      <w:r>
        <w:rPr>
          <w:b/>
          <w:bCs/>
        </w:rPr>
        <w:t xml:space="preserve">Efekt MLIKOLU2: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2026-10-19T15:14:28+02:00</dcterms:created>
  <dcterms:modified xsi:type="dcterms:W3CDTF">2026-10-19T15:14:28+02:00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