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inż., Artur Miszczuk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FIBUD2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15 godz. wykładów, 30 godz. ćwiczeń projektowych, praca własna 20 godz., konsultacje, zaliczenie projektu i udział w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 15 godz. wykładów, 30 godz. ćwiczeń projektowych, konsultacje, zaliczenie projektu i udział w egzaminie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30 godz. ćwiczeń projektowych, praca własna nad projektem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 Materiały Budowlane, Kosztorysowanie i Fizyka Budowli (sem. 5).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budynków, poznaje sposoby i metody poprawy ich charakterystyki energetycznej oraz wykonywania audytu energetycznego, projektu termomodernizacji i świadectwa energetycznego. Poznaje treść podstawowych aktów prawnych dotyczących oszczędności energii w budownictwie i alternatywnych źródeł jej pozyskiwania.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Gospodarka niskoemisyjna, Diagnozowanie energochłonności budynków istniejących - audyt energetyczny, - świadectwo energetyczne, - termowizja.
• Termomodernizacja budynków istniejących (stan prawny).
• Zasady projektowania ocieplenia przegród zewnętrznych w budynku istniejącym.
• Metodyka napraw i wymiany izolacji przeciwwilgociowej i przeciwwodnej.
• Alternatywne źródła energii wykorzystywane w bilansie energetycznym budynku: pompa ciepła, kolektory słoneczne, kotły na paliwa odnawialne, biogaz, gaz wysypiskowy, wiatraki i małe elektrownie wodne.
• Izolacje transparentne i próżniowe.
• Rekuperacja ciepła w systemach wentylacji.
• Modyfikacje konstrukcji w kierunku zwiększenia efektywności energetycznej budynków (nadbudowy, dobudowy, przebudowy).
• Ocena efektywności termomodernizacji.
• Przykłady rozwiązań termomodernizacyjnych krajów europejskich.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audytu i świadectwa energetycznego dla małego budynku mieszkalnego. Zajęcia kończą się kolokwium. 
Końcową ocenę z przedmiotu otrzymują studenci na podstawie oceny z 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 , publikacje: 
[1] „Budownictwo ogólne tom2” Praca zbiorowa – Arkady 2005;
[2] „Ochrona cieplna i charakterystyka energetyczna budynku” 2005 L. Laskowski;
[3] „Ochrona cech energetycznych budynków Poradnik” M. Robakiewicz 2005;[4]”Izolacje cieplne. Mechanizmy wymiany ciepła, właściwości cieplne i ich pomiary” P. Furmański, T.S. Wiśniewski, J. Banaszek – ITC PW 2006;
[5] Dyrektywa Europejska EPD 2002/91/WE w sprawie charakterystyki energetycznej budynków Normy, ustawy;
[6] PN-EN ISO 6946:1999;
[7] PN-B-02025;
[8] PN-EN ISO 13788:2002;
[9] Rozporządzenie Ministra Infrastruktury z dnia 12.04 2002 w sprawie warunków technicznych…… (DzU z 2002 r. nr 75 poz.690 z późniejszymi);
[10] Ustawa 18.12.1998 r. o wspieraniu przedsięwzięć termomodernizacyjnych (DzU z 1998 r. nr 162 poz.1121 z późniejszymi zm);
[11] Miesięczniki : „Materiały budowlane”, „Izolacje”, Energia i budynek”, „Doradca energetyczny”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FIBUD2W1: </w:t>
      </w:r>
    </w:p>
    <w:p>
      <w:pPr/>
      <w:r>
        <w:rPr/>
        <w:t xml:space="preserve">zna podstawowe zagadnienia z zakresu zrównoważonego rozwoju w budownictwie energooszczędnym.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K1_W11, K1_W12, K1_W16, K1_W19, K1_W20,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T1A_W08, T1A_W01, T1A_W02, T1A_W04, T1A_W06, T1A_W06, T1A_W08, T1A_W09, T1A_W02, T1A_W06,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FIBUD2U1: </w:t>
      </w:r>
    </w:p>
    <w:p>
      <w:pPr/>
      <w:r>
        <w:rPr/>
        <w:t xml:space="preserve">potrafi wskazać właściwe usprawnienia termomodernizacyjne oraz wykonać przegrody minimalizujące energochłonność budynków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obrona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K1_U10, K1_U17, K1_U18,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T1A_U10, T1A_U13, T1A_U01, T1A_U03, T1A_U04, T1A_U06, T1A_U03, T1A_U13, T1A_U14, T1A_U15, T1A_U16, T1A_U07, T1A_U11, T1A_U15, T1A_U16,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FIBUD2K1: </w:t>
      </w:r>
    </w:p>
    <w:p>
      <w:pPr/>
      <w:r>
        <w:rPr/>
        <w:t xml:space="preserve">Studiuje literaturę, prasę techniczną i informację na temat zagadnień związanych z przedmiotem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2026-10-19T11:21:50+02:00</dcterms:created>
  <dcterms:modified xsi:type="dcterms:W3CDTF">2026-10-19T11:21:50+02:00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