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wykład 15 godz., ćwiczenia audytoryjne 15 godz., laboratorium 15 godz., zapoznanie z literaturą 8 godz., przygotowanie do zaliczeń (4 kolokwia) 15 godz., przygotowanie prac rysunkowych (3 prace)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 15 godz., ćwiczenia audytoryjne 15 godz., laboratorium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godz.=1,5 ECTS:
laboratorium 15 godz., wykonanie prac rysunkowych (3 prace) 7 godz., przygotowanie do ćwiczeń oraz do zaliczeń (w tym konsultacje w laboratorium)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12, 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zaliczenie kolokwium z rozpoznawania skał.
Ćwiczenia audytoryjne: zaliczenie dwóch kolokwiów z części wykładowej, zaliczenie trzech prac rysunkowych oraz zaliczenie oceny warunków geologiczno – inżynierskich podłoża.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A.Łowkis, N.Zdrojewska, Zarys geologii z elementami geologii inżynierskiej i hydrogeologii, 2000;
[2] E. Lenczewska – Samotyja A. Łowkis, Przewodnik do ćwiczeń z geologii inżynierskiej i petrografii, 2000.
Lektury dodatkowe: 
[1] M. Książkiewicz, Geologia dynamiczna, 1968; 
[2] Z.Glazer,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GEOINZW1: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kolokwium z petrografii,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GEOINZU1: </w:t>
      </w:r>
    </w:p>
    <w:p>
      <w:pPr/>
      <w:r>
        <w:rPr/>
        <w:t xml:space="preserve">Ma umiejętność makroskopowego rozpoznawania (wraz z opisem) ważniejszych minerałów – w szczególności minerałów skałotwórczych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GEOINZU5: </w:t>
      </w:r>
    </w:p>
    <w:p>
      <w:pPr/>
      <w:r>
        <w:rPr/>
        <w:t xml:space="preserve">Potrafi dokonać 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zkolokwium z petrografii,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GEOINZU6: </w:t>
      </w:r>
    </w:p>
    <w:p>
      <w:pPr/>
      <w:r>
        <w:rPr/>
        <w:t xml:space="preserve">Potrafi ustalić stopień skomplikowania warunków geotechnicznych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GEOINZK1: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T1A_K02</w:t>
      </w:r>
    </w:p>
    <w:p>
      <w:pPr>
        <w:keepNext w:val="1"/>
        <w:spacing w:after="10"/>
      </w:pPr>
      <w:r>
        <w:rPr>
          <w:b/>
          <w:bCs/>
        </w:rPr>
        <w:t xml:space="preserve">Efekt GEOINZK2: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2026-10-19T09:55:27+02:00</dcterms:created>
  <dcterms:modified xsi:type="dcterms:W3CDTF">2026-10-19T09:55:27+02:00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