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Garbacz, dr inż. Tomasz Piotrowski, dr inż. Kamil Załęgowski, mgr inż. Piotr Prochoń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INZMAIZ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
ćwiczenia - 15h
zapoznanie z literaturą - 10h
przygotowanie i prezentacja pracy semestralnej - 5h
przygotowanie do egzaminu - 10h
Razem 55h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
ćwiczenia - 15h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przygotowanie i prezentacja pracy semestralnej - 5h
Razem 20h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Zasada zrównoważonego rozwoju w odniesieniu do obiektów budowlanych. Podział kompozytów budowlanych. Sterowanie właściwościami kompozytów budowlanych. Funkcje użyteczności materiałowej w zastosowaniu do materiałów budowlanych. Metale i stopy metali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Trwałość i niezawodność rozwiązań materiałowych. Przyczyny uszkodzeń konstrukcji Budowlanych. Zasady diagnostyki konstrukcji z wykorzystaniem metod niszczących, mało- i nieniszczących. Zasady projektowania napraw, ochrony powierzchniowej i wzmacniania konstrukcji budowlanych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
[9]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1995.
Literatura uzupełniająca: 
[1] Czarnecki L., Założenia systemu rozpoznawania kierunków rozwojowych inżynierii materiałów budowlanych, Prace Instytutu Techniki Budowlanej, 2 (2005);&lt;br&gt;
[2] Kurzydłowski K.J., Ralph B. „Quantitative description of material microstructure”; 
[3] Garbacz A. i in., Inżynieria powierzchni betonu, Materiały Budowlane, 9 (2006), 3-7; 12(2006), 8-11; 2(2007), 6,7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INZMAIZW1: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 ze szczegolnym uwzględniniem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K2_W12_IZRwB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</w:t>
      </w:r>
    </w:p>
    <w:p>
      <w:pPr>
        <w:keepNext w:val="1"/>
        <w:spacing w:after="10"/>
      </w:pPr>
      <w:r>
        <w:rPr>
          <w:b/>
          <w:bCs/>
        </w:rPr>
        <w:t xml:space="preserve">Efekt INZMAIZW2: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K2_W12_IZRwB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</w:t>
      </w:r>
    </w:p>
    <w:p>
      <w:pPr>
        <w:keepNext w:val="1"/>
        <w:spacing w:after="10"/>
      </w:pPr>
      <w:r>
        <w:rPr>
          <w:b/>
          <w:bCs/>
        </w:rPr>
        <w:t xml:space="preserve">Efekt INZMAIZW3: </w:t>
      </w:r>
    </w:p>
    <w:p>
      <w:pPr/>
      <w:r>
        <w:rPr/>
        <w:t xml:space="preserve">Potrafi wymienić podstawowe przyczyny korozji kompozytów budowalnych i analizować ich wpływ na trwalość obiektów budowlanych. Zna podstawowe metody oceny stanu materiałów w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K2_W12_IZRwB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INZMAIZU1: </w:t>
      </w:r>
    </w:p>
    <w:p>
      <w:pPr/>
      <w:r>
        <w:rPr/>
        <w:t xml:space="preserve">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INZMAIZK1: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2026-09-28T21:44:32+02:00</dcterms:created>
  <dcterms:modified xsi:type="dcterms:W3CDTF">2026-09-28T21:44:32+02:00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