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mgr inż. arch. Rafał Bujnowski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HIBUMI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cwiczenia.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charakteru i sposobu kształtowania budowli w poszczególnych epokach historycznych wiadomości z budownictwa ogólnego i podstaw Inżynierii komunikacyjne.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technicznych.
Zapoznanie słuchaczy z rozwojem kompozycji układów miast i przestrzeni miejskich (ulic, placów), historią i problematyką budowy miast,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Prelekcje/wykłady  (część I przedmiotu, 10h):
– zapoznanie z historią kompozycji przestrzeni miejskich, przedstawienie sztandarowych przykładów z historii budowy miast, analiza ich oddziaływania w przestrzeni i odbioru przez użytkowników.
Referaty studentów (część II przedmiotu – przygotowane w grupach po 2, 3 osoby):
- dotyczące interpretacji układów historycznych wybranych, znanych studentom przykładach przestrzeni w miastach. Badanie wpływu obudowy przestrzeni miejskich, komunikacji kołowej, rowerowej i pieszej, detalu urbanistycznego, infrastruktury technicznej na sposób kształtowania przestrzeni miasta na konkretnych przykładach.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Ostrowski Wacław – Historia budowy miast, skrypt, Warszawa 1959, część I: urbanistyka starożytna, część II: urbanistyka średniowieczna, część III: urbanistyka nowożytna (włoska i inna), część IV: urbanistyka nowożytna (francuska, polska i inna);
[2] Ostrowski Wacław – Materiały do historii budowy miast (ilustracje do skryptu), Warszawa 1955;
[3] Ostrowski Wacław – Urbanistyka współczesna, Warszawa 1975;
[4] Koch Wilfried, Style w architekturze, Świat Książki 1996; 
[5] Neufert Ernst i Peter, Podręcznik projektowania architektoniczno-budowlanego, Arkady 1995;
[6] Wróbel Tadeusz – Zarys historii budowy miast, Wrocław 1971;
[7] Ostrowski Wacław, Wprowadzenie do historii budowy miast, OWPW 1996;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HIBUMIW1: </w:t>
      </w:r>
    </w:p>
    <w:p>
      <w:pPr/>
      <w:r>
        <w:rPr/>
        <w:t xml:space="preserve">Ma podstawową wiedzę na temat rozwoju planowania urbanistycznego.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HIBUMIU1: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HIBUMIK1: </w:t>
      </w:r>
    </w:p>
    <w:p>
      <w:pPr/>
      <w:r>
        <w:rPr/>
        <w:t xml:space="preserve">Rozumie oddziaływanie pozatechnicznych - artystycznych i symbolicznych - elementów na rozwój urbanistyczny.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oceniany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2026-09-27T15:55:08+02:00</dcterms:created>
  <dcterms:modified xsi:type="dcterms:W3CDTF">2026-09-27T15:55:08+02:00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