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laboratorium 15 godz.; przygotowanie do zajęć laboratoryjnych 15 godz.; zapoznanie z literaturą 10 godz.; przygotowanie do zaliczenia, udział w konsultacjach, obecność na zaliczeniu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=1,5 ECTS: wykład 15 godz., ćwiczenia laboratoryjne 15 godz., 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47 godz. = 2 ECTS: obecność w laboratorium 15 godz.; przygotowanie do laboratorium napisanie sprawozdania, weryfikacja 15 godz.; przygotowanie do zaliczenia, udział w konsultacjach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
Ćwiczenia laboratoryjne z zakresu badania materiałów, doboru składów, oceny właściwości mieszanek związanych i niezwiązanych.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2007.
[3] Gaweł, M. Kalabińska, J. Piłat,  Asfalty drogowe. WKiŁ, Warszawa 2001.
[4]  Szajer R.,  Drogi żelazne. PWN,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MATBUKOW1: </w:t>
      </w:r>
    </w:p>
    <w:p>
      <w:pPr/>
      <w:r>
        <w:rPr/>
        <w:t xml:space="preserve">							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MATBUKOW2: </w:t>
      </w:r>
    </w:p>
    <w:p>
      <w:pPr/>
      <w:r>
        <w:rPr/>
        <w:t xml:space="preserve">							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MATBUKOU1: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MATBUKOU2: </w:t>
      </w:r>
    </w:p>
    <w:p>
      <w:pPr/>
      <w:r>
        <w:rPr/>
        <w:t xml:space="preserve">Potrafi wdrożyć opracowaną technologię budowy dolnych warstw konstrukcyjnych nawierzchni budowli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K2_U12_DS, 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MATBUKOK1: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2026-09-28T21:21:15+02:00</dcterms:created>
  <dcterms:modified xsi:type="dcterms:W3CDTF">2026-09-28T21:21:15+02:00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