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w:t>
      </w:r>
    </w:p>
    <w:p>
      <w:pPr>
        <w:keepNext w:val="1"/>
        <w:spacing w:after="10"/>
      </w:pPr>
      <w:r>
        <w:rPr>
          <w:b/>
          <w:bCs/>
        </w:rPr>
        <w:t xml:space="preserve">Koordynator przedmiotu: </w:t>
      </w:r>
    </w:p>
    <w:p>
      <w:pPr>
        <w:spacing w:before="20" w:after="190"/>
      </w:pPr>
      <w:r>
        <w:rPr/>
        <w:t xml:space="preserve">prof. L.Runkiewicz, prof. K.Żmijewski, doc dr J.Idzikowski, dr S.Wierzbicki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SEMNAR</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ćwiczenia seminaryjne 30 godz., studiowanie materiałów potrzebnych do wykonania prezentacji wybranego tematu seminarium dyplomowego 15 godz., praca indywidualna przy opracowaniu prezentacji tematu seminarium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ECTS: studiowanie materiałów potrzebnych do wykonania prezentacji wybranego tematu seminarium dyplomowego 15 godz., praca indywidualna przy opracowaniu prezentacji tematu seminarium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prefabrykowanych;&lt;br&gt;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Kopuły – rozwiązania konstrukcyjne.
Hangary – kształtowanie, obliczanie i montaż.
Nowoczesne ściany osłonowe w budynkach szkieletowych.
Układy konstrukcyjne stalowych garaży wielopoziomowych.
Zasobniki i silosy do przechowywania materiałów sypkich.
Montaż zbiorników, budowli typu wieżowego i masztowego.
Przejścia rurociągów przez przeszkody wodne.
Specyfika obciążeń wież, masztów i oddziaływań kominów.
Konstrukcje wiszące kładek nad rzeką.
Podpory linii elektroenergetycznych i kolei linowych.
Montaż suwnic i wież wyciągowych.
Konstrukcje hal sportowych i wystawowych w budownictwie stalowym.
Zadaszenia trybun stadionów.
Rurociągi i gazociągi.
Ogólna charakterystyka stalowych konstrukcji kościołów. 
Stalowe hale łukowe.
Konstrukcje cięgnowe w budownictwie przemysłowym.
Proces wytwarzania konstrukcji stalowych w specjalistycznych wytwórniach.
Konstrukcje wież badawczych do poszukiwań ropy.
Awarie hal spowodowane obciążeniem od śniegu.
Awarie podpór linii elektroenergetycznych spowodowane wiatrem i śniegiem.
Awarie kominów i zbiorników stalowych.
Przykładowa tematyka seminariów dyplomowych z budownictwa:
Holistyczna interpretacja zasad zrównoważonego rozwoju.
Innowacyjne rozwiązania technologiczne i materiałowe w zrównoważonym budownictwie.
Przesłanki, cele i metody rewitalizacji budynków i konstrukcji budowlanych.
Certyfikacja i audyt energetyczny jako narzędzie optymalizacji inwestycji.
Awangardowe rozwiązania w zakresie budownictwa i konstrukcji budowlanych.
Zasady promocji i prezentacji.</w:t>
      </w:r>
    </w:p>
    <w:p>
      <w:pPr>
        <w:keepNext w:val="1"/>
        <w:spacing w:after="10"/>
      </w:pPr>
      <w:r>
        <w:rPr>
          <w:b/>
          <w:bCs/>
        </w:rPr>
        <w:t xml:space="preserve">Metody oceny: </w:t>
      </w:r>
    </w:p>
    <w:p>
      <w:pPr>
        <w:spacing w:before="20" w:after="190"/>
      </w:pPr>
      <w:r>
        <w:rPr/>
        <w:t xml:space="preserve">W ramach ćwiczeń seminaryjnych wykonanie wybranego tematu prezentacji seminarium dyplomowego w programie Microsoft Power Point, przedstawienie jej na forum grupy i dyskusja nad przedstawionym zagadnieniem.
Ocena z przedmiotu obejmuje ocenę uzyskaną z prezentacji i obecność na ćwiczeniach seminaryjnych.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 Konstrukcje stalowe. Podstawy i elementy”, DWE, Wrocław 2006;
[7] Rykaluk K. - Konstrukcje stalowe;Kominy, wieże, maszty, Oficyna Wydawnicza Politechniki Wrocławskiej, Wrocław 2007;
[8] Bródka J., Kozłowski A., Ligocki I., Łaguna J. Ślęczka L., Projektowanie i obliczanie połączeń i węzłów konstrukcji stalowych”, PWT, Rzeszów 2009 – Tom 1 i 2;
[9] Kozłowski A. i zespół –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Zasadniczym celem przedmiotu jest przygotowanie studenta oraz ugruntowanie jego wiedzy i  umiejętności niezbędnych do samodzielnej pracy nad dyplomem magisterskim oraz zaprezentowanie wyników tej pracy przed Komisją Egzaminacyjną w trakcie egzaminu dyplomowego. Stąd też szczególny nacisk podczas zajęć jest położony na wykształcenie czterech podstawowych umiejętności, przydatnych nie tylko na etapie studiów, ale także w codziennym życiu zawodowym po ukończeniu nauki: 
1. Samodzielnego przygotowywania tematycznych prezentacji multimedialnych oraz przekazywanie  zdobytej wiedzy. 
2. Samodzielnego poszukiwania źrodeł informacji nie wskazanych przez prowadzącego oraz zgłębiania materiałów bibliograficznych nieznanych z dotychczasowego toku studiów. 3. Zdobywanie umiejętności merytorycznej dyskusji (na forum grupy) na temat przekazywanych treści oraz obrony zaprezentowanego stanowiska. 
4. Pokonania strachu przed publicznym wyrażaniem opinii i prezentowaniem stanowiska. 
Zaleca się by prezentacja multimedialna przygotowywana przez studenta w ramach Seminarium Dyplomowego była choćby w części spójna z tematyką wybranej pracy dyplomowej, choć nie jest to warunek konieczny. Wskazane jest aby zakres tematyczny przygotowywanej prezentacji wykraczał w sposób istotny poza treści prezentowane w ciągu całego okresu studiów w ramach regularnych programów kursowych. Takie podejście wymusza na studencie konieczność zgłębienia materiałów bibliograficznych nieznanych z dotychczasowego toku studiów, zapoznania się z najnowszymi informacjami dostępnymi w internecie, czasopismach fachowych, prowokuje do wizyty w czytelni i skłania do poszukiwania źródeł informacji nie wskazanych przez prowadzącego zajęcia. 
Poniżej zamieszczono przykładowe tematy prac dyplomowych magisterskich z bloku przedmiotowego "Konstrukcje Metalowe":
1. Pawilon handlowy o konstrukcji stalowej z przekryciem przestrzennym, konstrukcją prętową.
2. Komin stalowy o wysokości 120m.
3. Kładka wisząca dla pieszych w parkowym kompleksie wypoczynkowym
4. Przejście wiszące rurociągu przez rzekę.
5. Komin stalowy bez odciągów o wysokości 60m.
6. Kompleks sportowy z dwoma basenami olimpijskimi.
7. Hala wystawowa z przekryciem w postaci struktury jednowarstwowej.
8. Budynek biurowy o konstrukcji ramowej z węzłami podatnymi.
9. Budynek przychodni lekarskiej o konstrukcji ramowej ze stropami zespolonymi.
10. Parking wielopoziomowy o konstrukcji zespolonej.
11. Budynek hotelowy z dużą salą koncertową i kompleksem konferencyjnym.
12. Wieża stalowa telewizyjna o wysokości 120m.
13. Projekt wieży widokowej o konstrukcji stalowej.
14. Projekt budynku wysokiego o konstrukcji stalowej o wys. powyżej 12 kondygnacji.
15. Hangar lotniczy dla samolotów BOENING 767.
16. Pawilon handlowy o przekryciu strukturalnym.
17. Przekrycie basenu olimpijskiego z widownią dla 2000 osób.
18. Budynek dla cyrku stałego z widownią dla 4000 osób.
19. Pawilon dla sprzedaży samochodów wraz serwisem naprawczym.
20. Zbiornik z dachem pływającym na produkty naftowe, o pojemności ~50000 m3.
21. Zbiornik kulisty na gaz, pojemność 4000 m3.
22. Wieża telewizyjna; przekaźnikowa o wysokości 80m w terenie górskim.
23. Przekrycie boiska piłkarskiego z trybunami dla około 20000 widzów.
24. Stalowe przekrycie wielofunkcyjnej hali widowiskowo-sportowej na ~15000 widzów.
25. Analiza wybranych rozwiązań konstrukcji fasady dla realizowanego budynku o konstrukcji szkieletowej.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SEMNARW1: </w:t>
      </w:r>
    </w:p>
    <w:p>
      <w:pPr/>
      <w:r>
        <w:rPr/>
        <w:t xml:space="preserve">Zna zasady projektowania elementów konstrukcji budowlanych</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K2_W13_KBI, K2_W17_KBI</w:t>
      </w:r>
    </w:p>
    <w:p>
      <w:pPr>
        <w:spacing w:before="20" w:after="190"/>
      </w:pPr>
      <w:r>
        <w:rPr>
          <w:b/>
          <w:bCs/>
        </w:rPr>
        <w:t xml:space="preserve">Powiązane efekty obszarowe: </w:t>
      </w:r>
      <w:r>
        <w:rPr/>
        <w:t xml:space="preserve">T2A_W04, T2A_W05, T2A_W07, T2A_W05</w:t>
      </w:r>
    </w:p>
    <w:p>
      <w:pPr>
        <w:keepNext w:val="1"/>
        <w:spacing w:after="10"/>
      </w:pPr>
      <w:r>
        <w:rPr>
          <w:b/>
          <w:bCs/>
        </w:rPr>
        <w:t xml:space="preserve">Efekt SEMNARW2: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Poprawna prezentacja treści zawartych w opracowywanej prezentacji</w:t>
      </w:r>
    </w:p>
    <w:p>
      <w:pPr>
        <w:spacing w:before="20" w:after="190"/>
      </w:pPr>
      <w:r>
        <w:rPr>
          <w:b/>
          <w:bCs/>
        </w:rPr>
        <w:t xml:space="preserve">Powiązane efekty kierunkowe: </w:t>
      </w:r>
      <w:r>
        <w:rPr/>
        <w:t xml:space="preserve">K2_W10, K2_W11_KBI, K2_W12_KBI, K2_W14_KBI, K2_W15_KBI, K2_W16_KBI, K2_W17_KBI, K2_W18_KBI</w:t>
      </w:r>
    </w:p>
    <w:p>
      <w:pPr>
        <w:spacing w:before="20" w:after="190"/>
      </w:pPr>
      <w:r>
        <w:rPr>
          <w:b/>
          <w:bCs/>
        </w:rPr>
        <w:t xml:space="preserve">Powiązane efekty obszarowe: </w:t>
      </w:r>
      <w:r>
        <w:rPr/>
        <w:t xml:space="preserve">T2A_W01, T2A_W03, T2A_W05, T2A_W07, T2A_W03, T2A_W07, T2A_W03, T2A_W05, T2A_W07, T2A_W04, T2A_W07, T2A_W03, T2A_W04, T2A_W05, T2A_W06, T2A_W07, T2A_W03, T2A_W06, T2A_W05, T2A_W01, T2A_W07</w:t>
      </w:r>
    </w:p>
    <w:p>
      <w:pPr>
        <w:keepNext w:val="1"/>
        <w:spacing w:after="10"/>
      </w:pPr>
      <w:r>
        <w:rPr>
          <w:b/>
          <w:bCs/>
        </w:rPr>
        <w:t xml:space="preserve">Efekt SEMNARW3: </w:t>
      </w:r>
    </w:p>
    <w:p>
      <w:pPr/>
      <w:r>
        <w:rPr/>
        <w:t xml:space="preserve">Ma podstawową wiedzę na temat ochrony praw autorskich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K2_W09</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SEMNARU1: </w:t>
      </w:r>
    </w:p>
    <w:p>
      <w:pPr/>
      <w:r>
        <w:rPr/>
        <w:t xml:space="preserve">Potrafi projektować i konstruować wybrane konstrukcje budowlane</w:t>
      </w:r>
    </w:p>
    <w:p>
      <w:pPr>
        <w:spacing w:before="60"/>
      </w:pPr>
      <w:r>
        <w:rPr/>
        <w:t xml:space="preserve">Weryfikacja: </w:t>
      </w:r>
    </w:p>
    <w:p>
      <w:pPr>
        <w:spacing w:before="20" w:after="190"/>
      </w:pPr>
      <w:r>
        <w:rPr/>
        <w:t xml:space="preserve">Poprawna prezentacja treści zawartych w wybranym temacie seminarium dyplomowego</w:t>
      </w:r>
    </w:p>
    <w:p>
      <w:pPr>
        <w:spacing w:before="20" w:after="190"/>
      </w:pPr>
      <w:r>
        <w:rPr>
          <w:b/>
          <w:bCs/>
        </w:rPr>
        <w:t xml:space="preserve">Powiązane efekty kierunkowe: </w:t>
      </w:r>
      <w:r>
        <w:rPr/>
        <w:t xml:space="preserve">K2_U04, K2_U11_KBI, K2_U12_KBI, K2_U13_KBI, K2_U14_KBI, K2_U15_KBI, K2_U17_KBI, K2_U18_KBI, K2_U19_KBI, K2_U21_KBI, K2_U22_KBI, K2_U23_KBI, K2_U24_KBI, K2_U25_KBI</w:t>
      </w:r>
    </w:p>
    <w:p>
      <w:pPr>
        <w:spacing w:before="20" w:after="190"/>
      </w:pPr>
      <w:r>
        <w:rPr>
          <w:b/>
          <w:bCs/>
        </w:rPr>
        <w:t xml:space="preserve">Powiązane efekty obszarowe: </w:t>
      </w:r>
      <w:r>
        <w:rPr/>
        <w:t xml:space="preserve">T2A_U07, T2A_U09, T2A_U12, T2A_U18, T2A_U19, T2A_U08, T2A_U10, T2A_U15, T2A_U07, T2A_U08, T2A_U15, T2A_U02, T2A_U07, T2A_U18, T2A_U10, T2A_U11, T2A_U12, T2A_U16, T2A_U07, T2A_U08, T2A_U09, T2A_U08, T2A_U09, T2A_U10, T2A_U18, T2A_U15, T2A_U17, T2A_U18, T2A_U19, T2A_U08, T2A_U09, T2A_U19, T2A_U10, T2A_U17, T2A_U19, T2A_U02, T2A_U07, T2A_U13, T2A_U19, T2A_U10, T2A_U12, T2A_U14, T2A_U16</w:t>
      </w:r>
    </w:p>
    <w:p>
      <w:pPr>
        <w:keepNext w:val="1"/>
        <w:spacing w:after="10"/>
      </w:pPr>
      <w:r>
        <w:rPr>
          <w:b/>
          <w:bCs/>
        </w:rPr>
        <w:t xml:space="preserve">Efekt SEMNARU2: </w:t>
      </w:r>
    </w:p>
    <w:p>
      <w:pPr/>
      <w:r>
        <w:rPr/>
        <w:t xml:space="preserve">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treści zawartych w opracowywanej prezentacji seminaryjnej</w:t>
      </w:r>
    </w:p>
    <w:p>
      <w:pPr>
        <w:spacing w:before="20" w:after="190"/>
      </w:pPr>
      <w:r>
        <w:rPr>
          <w:b/>
          <w:bCs/>
        </w:rPr>
        <w:t xml:space="preserve">Powiązane efekty kierunkowe: </w:t>
      </w:r>
      <w:r>
        <w:rPr/>
        <w:t xml:space="preserve">K2_U12_KBI, K2_U13_KBI, K2_U14_KBI, K2_U19_KBI</w:t>
      </w:r>
    </w:p>
    <w:p>
      <w:pPr>
        <w:spacing w:before="20" w:after="190"/>
      </w:pPr>
      <w:r>
        <w:rPr>
          <w:b/>
          <w:bCs/>
        </w:rPr>
        <w:t xml:space="preserve">Powiązane efekty obszarowe: </w:t>
      </w:r>
      <w:r>
        <w:rPr/>
        <w:t xml:space="preserve">T2A_U15, T2A_U07, T2A_U08, T2A_U15, T2A_U08, T2A_U09, T2A_U10, T2A_U18</w:t>
      </w:r>
    </w:p>
    <w:p>
      <w:pPr>
        <w:keepNext w:val="1"/>
        <w:spacing w:after="10"/>
      </w:pPr>
      <w:r>
        <w:rPr>
          <w:b/>
          <w:bCs/>
        </w:rPr>
        <w:t xml:space="preserve">Efekt SEMNARU3: </w:t>
      </w:r>
    </w:p>
    <w:p>
      <w:pPr/>
      <w:r>
        <w:rPr/>
        <w:t xml:space="preserve">Potrafi samodzielnie pozyskiwać informacje i zdobywać wiedzę, korzystając z dostępnych żródeł informacji w tym żródeł elektronicznych i obcojęzycznych</w:t>
      </w:r>
    </w:p>
    <w:p>
      <w:pPr>
        <w:spacing w:before="60"/>
      </w:pPr>
      <w:r>
        <w:rPr/>
        <w:t xml:space="preserve">Weryfikacja: </w:t>
      </w:r>
    </w:p>
    <w:p>
      <w:pPr>
        <w:spacing w:before="20" w:after="190"/>
      </w:pPr>
      <w:r>
        <w:rPr/>
        <w:t xml:space="preserve">Poprawna prezentacja wybranego tematu pracy seminaryjnej</w:t>
      </w:r>
    </w:p>
    <w:p>
      <w:pPr>
        <w:spacing w:before="20" w:after="190"/>
      </w:pPr>
      <w:r>
        <w:rPr>
          <w:b/>
          <w:bCs/>
        </w:rPr>
        <w:t xml:space="preserve">Powiązane efekty kierunkowe: </w:t>
      </w:r>
      <w:r>
        <w:rPr/>
        <w:t xml:space="preserve">K2_U05, K2_U06, K2_U08</w:t>
      </w:r>
    </w:p>
    <w:p>
      <w:pPr>
        <w:spacing w:before="20" w:after="190"/>
      </w:pPr>
      <w:r>
        <w:rPr>
          <w:b/>
          <w:bCs/>
        </w:rPr>
        <w:t xml:space="preserve">Powiązane efekty obszarowe: </w:t>
      </w:r>
      <w:r>
        <w:rPr/>
        <w:t xml:space="preserve">T2A_U02, T2A_U03, T2A_U11, T2A_U15, T2A_U16, T2A_U04, T2A_U01, T2A_U02, T2A_U05</w:t>
      </w:r>
    </w:p>
    <w:p>
      <w:pPr>
        <w:pStyle w:val="Heading3"/>
      </w:pPr>
      <w:bookmarkStart w:id="4" w:name="_Toc4"/>
      <w:r>
        <w:t>Profil ogólnoakademicki - kompetencje społeczne</w:t>
      </w:r>
      <w:bookmarkEnd w:id="4"/>
    </w:p>
    <w:p>
      <w:pPr>
        <w:keepNext w:val="1"/>
        <w:spacing w:after="10"/>
      </w:pPr>
      <w:r>
        <w:rPr>
          <w:b/>
          <w:bCs/>
        </w:rPr>
        <w:t xml:space="preserve">Efekt SEMNARK1: </w:t>
      </w:r>
    </w:p>
    <w:p>
      <w:pPr/>
      <w:r>
        <w:rPr/>
        <w:t xml:space="preserve">Potrafi studiować literaturę, prasę techniczną i informacje na temat specjalistycznych zagadnień, ma świadomość konieczności ciągłego samokształcenia</w:t>
      </w:r>
    </w:p>
    <w:p>
      <w:pPr>
        <w:spacing w:before="60"/>
      </w:pPr>
      <w:r>
        <w:rPr/>
        <w:t xml:space="preserve">Weryfikacja: </w:t>
      </w:r>
    </w:p>
    <w:p>
      <w:pPr>
        <w:spacing w:before="20" w:after="190"/>
      </w:pPr>
      <w:r>
        <w:rPr/>
        <w:t xml:space="preserve">Poprawność merytoryczna opracowywanej prezentacji wybranego tematu seminarium dyplomowego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SEMNARK2: </w:t>
      </w:r>
    </w:p>
    <w:p>
      <w:pPr/>
      <w:r>
        <w:rPr/>
        <w:t xml:space="preserve">Potrafi logicznie myśleć, we właściwy sposob oceniać procesy i zjawiska zachodzące w budownictwie, prezentować wnioski na forum grupy</w:t>
      </w:r>
    </w:p>
    <w:p>
      <w:pPr>
        <w:spacing w:before="60"/>
      </w:pPr>
      <w:r>
        <w:rPr/>
        <w:t xml:space="preserve">Weryfikacja: </w:t>
      </w:r>
    </w:p>
    <w:p>
      <w:pPr>
        <w:spacing w:before="20" w:after="190"/>
      </w:pPr>
      <w:r>
        <w:rPr/>
        <w:t xml:space="preserve">Poprawna prezentacja tematu seminarium dyplomowego</w:t>
      </w:r>
    </w:p>
    <w:p>
      <w:pPr>
        <w:spacing w:before="20" w:after="190"/>
      </w:pPr>
      <w:r>
        <w:rPr>
          <w:b/>
          <w:bCs/>
        </w:rPr>
        <w:t xml:space="preserve">Powiązane efekty kierunkowe: </w:t>
      </w:r>
      <w:r>
        <w:rPr/>
        <w:t xml:space="preserve">K2_K04</w:t>
      </w:r>
    </w:p>
    <w:p>
      <w:pPr>
        <w:spacing w:before="20" w:after="190"/>
      </w:pPr>
      <w:r>
        <w:rPr>
          <w:b/>
          <w:bCs/>
        </w:rPr>
        <w:t xml:space="preserve">Powiązane efekty obszarowe: </w:t>
      </w:r>
      <w:r>
        <w:rPr/>
        <w:t xml:space="preserve">T2A_K06, T2A_K07</w:t>
      </w:r>
    </w:p>
    <w:p>
      <w:pPr>
        <w:keepNext w:val="1"/>
        <w:spacing w:after="10"/>
      </w:pPr>
      <w:r>
        <w:rPr>
          <w:b/>
          <w:bCs/>
        </w:rPr>
        <w:t xml:space="preserve">Efekt SEMNARK3: </w:t>
      </w:r>
    </w:p>
    <w:p>
      <w:pPr/>
      <w:r>
        <w:rPr/>
        <w:t xml:space="preserve">Ma świadomość pełnej odpowiedzialności za przedstawianą prezentację. Wyczuwa potrzebę przestrzegania zasad etyki zawodowej, typowej dla zawodu zaufania publicznego</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2026-09-27T23:17:34+02:00</dcterms:created>
  <dcterms:modified xsi:type="dcterms:W3CDTF">2026-09-27T23:17:34+02:00</dcterms:modified>
</cp:coreProperties>
</file>

<file path=docProps/custom.xml><?xml version="1.0" encoding="utf-8"?>
<Properties xmlns="http://schemas.openxmlformats.org/officeDocument/2006/custom-properties" xmlns:vt="http://schemas.openxmlformats.org/officeDocument/2006/docPropsVTypes"/>
</file>