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z zastosowaniem programów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Marcin Niedośpiał,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PROKOM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ćwiczenia laboratoryjne (praca przy komputerze) 45 godzin; przygotowanie do zajęć w trakcie semestru oraz prace zaliczeniowe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55 godz. = 2 ECTS: ćwiczenia laboratoryjne (praca przy komputerze) 45 godz., konsultacje prac projektowych i ich zaliczenie 10h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 ECTS: ćwiczenia laboratoryjne (praca przy komputerze) 45 godzin; przygotowanie do zajęć w trakcie semestru 5godz.,  konsultacje i prace zaliczeniowe 15 godzin.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na ostatnim lub przedostatnim semestrze zajęć. Zakłada się, że studenci zaliczyli przedmioty konstrukcyjne (konstrukcje żelbetowe, metalowe, drewniane) prowadzone na poprzedzających semestrach, gdyż przedmiot  ten w pewien sposób podsumowuje wiedzę zdobytą podczas toku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podstawowych zasad dotyczących  modelowania konstrukcji, definicji obciążeń  i ich kombinacji , obliczeń statycznych,  interpretacji wyników oraz wymiarowania w programie Autodesk Robot Structural Analysis Professional. Po zaliczeniu przedmiotu student powinien umieć zastosować  zdobytą wiedzę w praktyce do projektowania oraz przy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Wspomaganie komputerowe projektowania konstrukcji - zagadnienia wprowadzające; klasyfikacja ustrojów konstrukcyjnych; model obliczeniowy budowli - pojęcia, charakterystyka, ograniczenia; program komputerowy jako realizacja przyjętego algorytmu rozwiązania modelu numerycznego budowli. 
• Ustawienia programu - preferencje zadania, materiały, normy, dokładność, jednostki itp.
• Obciążenia konstrukcji - przypadki obciążeń, definicje obciążeń: obciążenia powierzchniowe i liniowe, kombinacje ręczne i automatyczne, okładziny.
• Konstrukcje prętowe – płaskie i przestrzenne; definicja prętów, modelowanie połączeń (węzłów) i podpór, materiały, charakterystyki przekroju, funkcje zaawansowane konstrukcji prętowych.
• Konstrukcje powierzchniowe - definicja geometrii płyt: definicja konturów, otwory, definicja grubości i materiału; podpory w płytach żelbetowych (podpory punktowe, liniowe, powierzchniowe, słupy, wymiary podpór); siatkowanie konstrukcji płytowych – siatkowanie Coonsa i Delauney’a, dogęszczanie siatki (ręczne i automatyczne - emitery), siatka regularna, analiza zbieżności wyników dla różnych gęstości siatek.
• Rezultaty dla konstrukcji prętowych i płytowych – interpretacja rezultatów, rezultaty tabelaryczne sił, przemieszczeń i reakcji; wykresy sił, przemieszczeń i reakcji; mapy, izolinie i wartości w elementach skończonych, przecięcia przez panele, uwzględnienie rozmiaru podpór słupowych w rezultatach.
• Wymiarowanie elementów stalowych i żelbetowych – parametry normowe, definicje grup i prętów, konfiguracja obliczeń; zbrojenie elementów żelbetowych – definicja parametrów zbrojenia, zbrojenie teoretyczne i rzeczywiste, weryfikacja ugięcia elementu zarysowanego.
• Współpraca elementów prętowych z powierzchniowymi – wpływ zmiany sztywności podparcia na wyniki statyki i ugięcia (offsety itp.), wpływ siatkowania ES na rezultaty nad słupami.
• Problemy występujące podczas analizy konstrukcji – analiza liniowa i nieliniowa, analiza modalna, niespójności, zmiana parametrów brzegowych.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Należy uczęszczać i aktywnie uczestniczyć w zajęciach. 
Student jest zobowiązany do wykonania prac domowych (projektów zaliczeniowych), które należy zakończyć i obronić w terminie określonym w regulaminie przedmiotu – ocena zależy od jakości projektów i obrony.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Strona internetowa firmy ROBOBAT www.robobat.com.pl &lt;br&gt;Materiały własne szkoleniowe.
"Help" programu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PROKOMPW01: </w:t>
      </w:r>
    </w:p>
    <w:p>
      <w:pPr/>
      <w:r>
        <w:rPr/>
        <w:t xml:space="preserve">Zna możliwości i zakres stosowania programu ARSA Pro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K2_W18_KBI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T2A_W01, T2A_W07</w:t>
      </w:r>
    </w:p>
    <w:p>
      <w:pPr>
        <w:keepNext w:val="1"/>
        <w:spacing w:after="10"/>
      </w:pPr>
      <w:r>
        <w:rPr>
          <w:b/>
          <w:bCs/>
        </w:rPr>
        <w:t xml:space="preserve">Efekt PROKOMPW02: </w:t>
      </w:r>
    </w:p>
    <w:p>
      <w:pPr/>
      <w:r>
        <w:rPr/>
        <w:t xml:space="preserve">Zna zasady modelowania konstrukcji prętowych i powierzchniowych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K2_W13_KBI, K2_W14_KBI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PROKOMPU01: </w:t>
      </w:r>
    </w:p>
    <w:p>
      <w:pPr/>
      <w:r>
        <w:rPr/>
        <w:t xml:space="preserve">Potrafi zbudować  przestrzenny układ prętowy, zdefiniować obciążenia i ich kombinacje, przeprowadzić obliczenia, zinterpretować otrzymane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K2_U14_KBI, K2_U18_KBI, K2_U19_KBI, K2_U21_KBI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T2A_U07, T2A_U08, T2A_U09, T2A_U08, T2A_U09, T2A_U10, T2A_U18, T2A_U15,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PROKOMPU02: </w:t>
      </w:r>
    </w:p>
    <w:p>
      <w:pPr/>
      <w:r>
        <w:rPr/>
        <w:t xml:space="preserve">Potrafi zamodelować układ powierzchniowy, zdefiniować obciążenia i ich kombinacje, przeprowadzić obliczenia, zinterpretować otrzymane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K2_U03, K2_U14_KBI, K2_U18_KBI, K2_U19_KBI, K2_U20_KBI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T2A_U08, T2A_U15, T2A_U07, T2A_U08, T2A_U09, T2A_U08, T2A_U09, T2A_U10, T2A_U18, T2A_U11, T2A_U15,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2026-09-28T14:57:37+02:00</dcterms:created>
  <dcterms:modified xsi:type="dcterms:W3CDTF">2026-09-28T14:57:37+02:00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