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(KB)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Garbacz, prof. dr hab. inż.,  Tomasz Piotrowski,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INMAKB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- 15h
zapoznanie z literaturą - 5h
przygotowanie i prezentacja pracy semestralnej - 5h
przygotowanie do egzaminu - 5h
Razem 60h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- 30h
ćwiczenia - 15h
Razem 45h = 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przygotowanie i prezentacja pracy semestralnej - 5h
Razem 20h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Polimery i kompozyty polimerowe w budownictwie.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1-3;&lt;br&gt; [9]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(2005);&lt;br&gt;
[2] Kurzydłowski K.J., Ralph B. „Quantitative description of material microstructure”; 
[3] Garbacz A. i in., Inżynieria powierzchni betonu, Materiały Budowlane, 9 (2006), 3-7; 12(2006), 8-11; 2(2007), 6,7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INMAKBW1: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INMAKBW2: </w:t>
      </w:r>
    </w:p>
    <w:p>
      <w:pPr/>
      <w:r>
        <w:rPr/>
        <w:t xml:space="preserve">Potrafi dobrać metody analizy mikrostruktury podstawowych typów kompozytów budowlanych.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K2_W20_KBI,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T2A_W05,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INMAKBW3: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K2_W20_KBI,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T2A_W05, T2A_W04, T2A_W05,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INMAKBU1: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INMAKBK1: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2026-09-28T01:20:35+02:00</dcterms:created>
  <dcterms:modified xsi:type="dcterms:W3CDTF">2026-09-28T01:20:35+02:00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