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Więckowski,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DROMBP1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projektowe 15 godz., konsultacje i egzamin 3 godz., praca samodzielna studenta 17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33 godz. = 1,5 ECTS: wykład 15 godz., ćwiczenia projektowe 15 godz., konsultacje i egzamin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32 godz. = 1 ECTS: ćwiczenia projektowe 15 godz.,
praca samodzielna studenta 17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i pogłębienie wiadomości ze studiów inżynierskich z zakresu projektowania i budowy dróg, przede wszystkim zamiejskich, z uwzględnieniem powiązań dróg z obiektami inżynierskimi.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wykładów:
1. Kształtowanie geometryczne dróg.
2. Definicja drogi, Klasy i kategorie dróg. Pas drogowy i jego elementy. 
3. Prędkość projektowa i miarodajna. 
4. Podstawowe elementy geometryczne trasy i niwelety dróg, zasady obliczania. 
5. Podstawy kształtowania przekroju poprzecznego dróg i ulic. 
6. Powiązanie dróg i obiektów mostowych. 
7. Odwodnienie dróg, przepusty. 
8. Skrzyżowania dróg – podstawowe informacje. 
9. Węzły drogowe i obiekty mostowe na węzłach.
10. Nawierzchnie drogowe
11. Klasyfikacja i podstawy mechaniki nawierzchni drogowych. Czynniki wpływające na konstrukcje nawierzchni drogowych. 
12. Podstawowe materiały do budowy nawierzchni drogowych. Wykonawstwo robót. Nawierzchnie na obiektach mostowych.
Ćwiczenie projektowe:
należy wykonać prosty projekt drogi zamiejskiej przekraczającej niewielki ciek (plan sytuacyjny, przekrój podłużny, przekroje poprzeczne, rowy odwadniające, nawierzchnia, powiązanie z obiektem mostowym).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na podstawie wykonania i obrony projektu jak wyżej. Egzamin pisemny z wiadomości z wykładów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Rozporządzenie Ministra Transportu i Gospodarki Morskiej z dnia 2 marca 1999 r. w sprawie warunków technicznych, jakim powinny odpowiadać drogi publiczne i ich usytuowanie, Dz. U. Nr 43/1999, poz. 430;
[2] Rozporządzenie Ministra Transportu i Gospodarki Morskiej z dnia 30 maja 2000 r. w sprawie warunków technicznych, jakim powinny odpowiadać drogowe obiekty inżynierskie i ich usytuowanie, Dz. U. 63/2000, poz. 735;
[3] Ujednolicone teksty potrzebnych ustaw i rozporządzeń, www.sejm.gov.pl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DROMBP1W1: </w:t>
      </w:r>
    </w:p>
    <w:p>
      <w:pPr/>
      <w:r>
        <w:rPr/>
        <w:t xml:space="preserve">Student ma wiedzę w zakresie metodologii projektowania procesów budowlanych w zakresie budownictwa drogowego. Rozumie istotę systemowego formułowania i rozwiązywania zadań projektowych na styku budownioctwa drogowego i mostowego. Zna zasady wyboru i oceny rozwiązań projektowych. Zna regulacje wynikające z Ustawy - Prawo budowlane, Ustawy o drogach publicznych oraz podstawowe regulacje wynikające z innychprzepisów zawartych w ustawach oraz rozporządzeniach stanowiących akty wykonawcze do tych ustaw. Zna podstawowe normy, rozporządzenia oraz wytyczne projektowania, wykonywania i eksploatacji obiektów budownictwa drogowego. Ma wiedzę na temat konstruowania i metod budowy wybranych obiektów budownictwa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K2_W07, K2_W08, K2_W12_MiBP, K2_W13_MiBP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T2A_W08, T2A_W03, T2A_W06, T2A_W07,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DROMBP1U1: </w:t>
      </w:r>
    </w:p>
    <w:p>
      <w:pPr/>
      <w:r>
        <w:rPr/>
        <w:t xml:space="preserve">Student potrafi przeprowadzić prace o charakterze analitycznym prowadzące do rozwiązania problemów inżynierskich, pojawiających się na styku budownictwa drogowego i mostowego. Potrafi przedstawić wyniki w formie opracowania pisemnego i rysunków oraz prezentacji ustnej. Potrafi pozyskiwać informacje z różnych źródeł, integrować je, dokonywać ich interpretacji i krytycznej oceny, a także wyciągać wnioski oraz formułować i wyczerpująco uzasadniać opinie. Samodzielnie uzupełnia i poszerza wiedzę. Potrafi korzystać z odpowiednich przepisów dotyczących projektowania, wykonywania i eksploatacji obiektów budownictwa drogowego. Potrafi interpretować rysunki związane z branżami pokrewnymi, a w szczególności rysunki i mapy geodezyjne oraz przekroje geologiczne. Potrafi sporządzić dokumentację rysunkową wraz z obliczeniami i opisem odpowiednimi do danego etapu procesu projektowego, z uwzględnieniem różnego poziomu szczegółowości.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K2_U08, K2_U13_MiBP, K2_U16_MiBP, K2_U26_MiBP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T2A_U05, T2A_U01, T2A_U05, T2A_U07, T2A_U02, T2A_U07, T2A_U04, T2A_U02, T2A_U03,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DROMBP1K1: </w:t>
      </w:r>
    </w:p>
    <w:p>
      <w:pPr/>
      <w:r>
        <w:rPr/>
        <w:t xml:space="preserve">Student potrafi pracować samodzielnie oraz określać priorytety służące realizacji zadań. Ma świadomość konieczności podnoszenia kompetencji zawodowych i osobistych. Rozumie znaczenie odpowiedzialności w działalności inżynierskiej, w tym rzetelności przedstawienia i interpretacji wyników prac. Potrafi formułować i prezentować opinie, działać w sposób kreatywny i przedsiębiorczy rozwiązując postawione przed nim zadania związane z budownictwem drogowym. Ma świadomość ważności i zrozumienia pozatechnicznych aspektów i skutków działalności inżyniera w zakresie budownictwa drogowego,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2026-07-26T13:03:06+02:00</dcterms:created>
  <dcterms:modified xsi:type="dcterms:W3CDTF">2026-07-26T13:03:06+02:00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