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systemów logistycznych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hab. inż. Konrad. Lewczuk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ćwiczeniach projektowych 9 godz., studiowanie literatury w zakresie pracy projektowej 5 godz., praca własna nad projektem 15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(10 godz., w tym: praca na ćwiczeniach projektowych 9 godz., obrona pracy projektowej 1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(25 godz., w tym: praca na ćwiczeniach projektowych 9 godz., praca własna nad projektem 15 godz., obrona pracy projektowej 1 godz.)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zasad kształtowania systemów logistycznych oraz podstawowych zasad technologii magazynowania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umiejętności potrzebnych do kształtowania przestrzennego, funkcjonalnego i procesowego systemów logistycznych i ich elementów w stadium projektów koncepcyjnych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Projekt koncepcyjny zadanego elementu systemu logistycznego obejmujący: sformułowanie zadania logistycznego w kategoriach ilościowych i jakościowych, ukształtowanie funkcjonalno-przestrzenne systemu, ukształtowanie technologii oraz procesów przepływu ładunków i opcjonalnie informacji, zwymiarowanie procesów przekształceń ze względu na wydajność oraz obliczenie wybranych wskaźników oceny jakości rozwiązania projektowego.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weryfikacja postępów pracy. Obrona projektu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Jacyna M., Lewczuk K., Projektowanie systemów logistycznych, Wydawnictwo Naukowe PWN SA, Warszawa 2016.
2) Fijałkowski J.: Transport wewnętrzny w systemach logistycznych. Wybrane zagadnienia, OWPW, Warszawa 2003, rozdziały 9-13.
3) Fijałkowski J.: Technologia Magazynowania, OWPW, Warszawa 1995.
4) Jacyna M. (red.) System Logistyczny Polski. Uwarunkowania techniczno-technologiczne komodalności transportu. OWPW,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	: </w:t>
      </w:r>
    </w:p>
    <w:p>
      <w:pPr/>
      <w:r>
        <w:rPr/>
        <w:t xml:space="preserve">Ma szczegółową wiedzę o kształtowaniu funkcjonalno-przstrzennym elementów złożonych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 i techniki kształtowania procesów przepływu ładunków i informacji w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przygotować i przedstawić w języku polskim prezentację projektu lub analizy systemu logistycznego lub jego elementu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na koniec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Tr2A_U14, 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II.T.P7S_UW.3, III.P7S_UW.3.o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ukształtować system logistyczny w stadium koncepcji z oszacowaniem kosztów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kształtować proces przepływu strumieni ładunków i strumieni informacji w postaci graficznej i analitycznej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Tr2A_U15,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II.T.P7S_UW.3, III.P7S_UW.3.o, II.T.P7S_UW.4,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2025-05-07T13:40:21+02:00</dcterms:created>
  <dcterms:modified xsi:type="dcterms:W3CDTF">2025-05-07T13:40:21+02:00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