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termomechaniki ciał odkształcalnych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Kowalczyk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1120-INCAD-MSP-0020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62 h; w tym
a) obecność na wykładach – 30 h
b) obecność na ćwiczeniach – 30 h
c) obecność na egzaminie – 2 h
2. praca własna studenta – 40 h; w tym
a) bieżące przygotowywanie do ćwiczeń i kolokwiów, w tym samodzielne rozwiązywanie zadań – 20 h
b) zapoznanie się z literaturą – 10 h
c) przygotowanie do egzaminu – 10 h
Razem 102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obecność na egzaminie – 2 h
Razem 62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ćwiczeniach – 30 h
2. bieżące przygotowywanie do ćwiczeń i kolokwiów, w tym samodzielne rozwiązywanie zadań – 20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matematyczna, Równania różniczkowe, Algebra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– 30 os/grupa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pojęciami i prawami termomechaniki ciał odkształcalnych pod kątem ich zastosowań do komputerowej symulacji ruchu i deformacji rzeczywistych obiektów (w szczególności konstrukcji inżynierskich) pod wpływem obciążeń mechanicznych i termicznych oraz obliczeń wytrzymałościowych tych obiektów. W ramach przedmiotu studenci poznają:
- podstawy teoretyczne analizy i algebry tensorów,
- metody matematyczne tensorowego opisu deformacji i stanu naprężeń w kontinuum materialnym,
- prawa termomechaniki kontinuum materialnego, wyrażone w postaci układu nieliniowych równań różniczkowych cząstkowych na czasoprzestrzennych polach tensorowych
- podstawy formułowania przybliżonych metod numerycznego rozwiązywania tych równań.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(podstawowe pojęcia, opis ciągły i dyskretny). Podstawy algebry i analizy tensorowej. Ruch ciała, deformacja, obrót sztywny, odkształcenie. Zasada zachowania masy. Opis stanu naprężenia. Zasady zachowania pędu, momentu pędu, energii mechanicznej. Równania konstytutywne (sprężystość, lepko-sprężystość, sprężysto-plastyczność). Sformułowanie lokalne zagadnienia nieliniowej mechaniki ciała odkształcalnego. Zagadnienia przewodnictwa ciepła. Sprzężenia termo-mechaniczne – sformułowanie lokalne zagadnienia nieliniowej termo-mechaniki ciała odkształcalnego. Zasady i sformułowania wariacyjne zagadnień termomechaniki.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udziału w zajęciach wymagany jest pozytywny wynik każdego z dwóch kolokwiów. Ocena końcowa z przedmiotu zależy od liczby punktów uzyskanych na egzaminie. Maksymalna liczba punktów (65) jest równa maksymalnej sumie punktów możliwych do uzyskania w obu kolokwiach – mogą one być zaliczone na poczet egzaminu na zasadzie „terminu zerowego”. Skala ocen zależy od liczby punktów zgodnie z regułą: liczba punktów &gt; 58 – 5.0, &gt;52 – 4.5, &gt;45 – 4.0, &gt;39 – 3.5, &gt;32 – 3.0, &lt;=32 – 2.0.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Kleiber, P.Kowalczyk, Wprowadzenie do nieliniowej termomechaniki ciał odkształcalnych, Wyd. IPPT PAN, 2011 
2. J. Ostrowska-Maciejewska, Mechanika ciał odkształcalnych, PWN, Warszawa, 1994 
3. Y.C. Fung, Podstawy mechaniki ciała stałego, PWN, Warszawa 1969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W2_01: </w:t>
      </w:r>
    </w:p>
    <w:p>
      <w:pPr/>
      <w:r>
        <w:rPr/>
        <w:t xml:space="preserve">Zna podstawy teoretyczne analizy i algebry tensorów i ich zastosowania do opisu deformacji i stanu naprężeń w kontinuum materialnym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W2_02: </w:t>
      </w:r>
    </w:p>
    <w:p>
      <w:pPr/>
      <w:r>
        <w:rPr/>
        <w:t xml:space="preserve">Zna sformułowania równań termomechaniki kontinuum materialnego i podstawy przybliżonych metod ich numerycznego rozwiązywania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U2_01: </w:t>
      </w:r>
    </w:p>
    <w:p>
      <w:pPr/>
      <w:r>
        <w:rPr/>
        <w:t xml:space="preserve">Potrafi posługiwać się pojęciami rachunku tensorowego i interpretować je dla wielkości fizycznych pojawiających się w zagadnieniach mechaniki ciał odkształcalnych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U2_02: </w:t>
      </w:r>
    </w:p>
    <w:p>
      <w:pPr/>
      <w:r>
        <w:rPr/>
        <w:t xml:space="preserve">Potrafi sformułować równania różniczkowe dla konkretnego zagadnienia termomechaniki ciał odkształcalnych i zaproponować metodę ich numerycznego rozwiązania, uwzględniającą specyfikę danego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U2_03: </w:t>
      </w:r>
    </w:p>
    <w:p>
      <w:pPr/>
      <w:r>
        <w:rPr/>
        <w:t xml:space="preserve">Potrafi samodzielnie określić kierunki dalszego uczenia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K2_01: </w:t>
      </w:r>
    </w:p>
    <w:p>
      <w:pPr/>
      <w:r>
        <w:rPr/>
        <w:t xml:space="preserve">Posiada zdolność do kontynuacji kształcenia oraz świadomość potrzeby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X2A_K06</w:t>
      </w:r>
    </w:p>
    <w:p>
      <w:pPr>
        <w:keepNext w:val="1"/>
        <w:spacing w:after="10"/>
      </w:pPr>
      <w:r>
        <w:rPr>
          <w:b/>
          <w:bCs/>
        </w:rPr>
        <w:t xml:space="preserve">Efekt K2_02: </w:t>
      </w:r>
    </w:p>
    <w:p>
      <w:pPr/>
      <w:r>
        <w:rPr/>
        <w:t xml:space="preserve">Potrafi myśleć i działać w sposób kreatywny, samodzielnie formułować i rozwiązywać zagadnienia zastosowań informatyki w technice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dwóch kolokwiów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2025-05-06T14:41:09+02:00</dcterms:created>
  <dcterms:modified xsi:type="dcterms:W3CDTF">2025-05-06T14:41:09+02:00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