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instalacji tryskaczowych</w:t>
      </w:r>
    </w:p>
    <w:p>
      <w:pPr>
        <w:keepNext w:val="1"/>
        <w:spacing w:after="10"/>
      </w:pPr>
      <w:r>
        <w:rPr>
          <w:b/>
          <w:bCs/>
        </w:rPr>
        <w:t xml:space="preserve">Koordynator przedmiotu: </w:t>
      </w:r>
    </w:p>
    <w:p>
      <w:pPr>
        <w:spacing w:before="20" w:after="190"/>
      </w:pPr>
      <w:r>
        <w:rPr/>
        <w:t xml:space="preserve">dr inż. Agnieszka Malesińska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godz., ćwiczenia projektowe - 8 godz., przygotowanie do zajęć projektowych - 5 godz., zapoznanie się z literaturą - 5 godz., przygotowanie projektu i obrona - 10 godz., przygotowanie do zaliczenia i obecność na nim - 10 godz. Razem: 54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Instalacje wodociągowe</w:t>
      </w:r>
    </w:p>
    <w:p>
      <w:pPr>
        <w:keepNext w:val="1"/>
        <w:spacing w:after="10"/>
      </w:pPr>
      <w:r>
        <w:rPr>
          <w:b/>
          <w:bCs/>
        </w:rPr>
        <w:t xml:space="preserve">Limit liczby studentów: </w:t>
      </w:r>
    </w:p>
    <w:p>
      <w:pPr>
        <w:spacing w:before="20" w:after="190"/>
      </w:pPr>
      <w:r>
        <w:rPr/>
        <w:t xml:space="preserve">brak </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budowa i zasada działania instalacji tryskaczowych, wymagania formalno-prawne z zakresu instalacji tryskaczowych (Ustawy, rozporządzenia, PN-EN 12 845, VdS, NFPA13, FM Global), omówienie podstawowych parametrów projektowych instalacji tryskaczowych według różnych przepisów, rodzaje tryskaczy, parametry pracy tryskaczy (np. RTI, rodzaj zamka, itp.), omówienie procesu projektowania instalacji tryskaczowych( np. powierzchnia działania, powierzchnia obliczeniowa, klasa zagrożenia pożarowego, itd.), zawieszenie instalacji tryskaczowych według różnych przepisów, zawory kontrolno-alarmowe, zaopatrzenie w wodę, pompownie przeciwpożarowe (podstawy, różnice w podejściu np. według VdS a NFPA13). Przykład obliczeniowy.</w:t>
      </w:r>
    </w:p>
    <w:p>
      <w:pPr>
        <w:keepNext w:val="1"/>
        <w:spacing w:after="10"/>
      </w:pPr>
      <w:r>
        <w:rPr>
          <w:b/>
          <w:bCs/>
        </w:rPr>
        <w:t xml:space="preserve">Metody oceny: </w:t>
      </w:r>
    </w:p>
    <w:p>
      <w:pPr>
        <w:spacing w:before="20" w:after="190"/>
      </w:pPr>
      <w:r>
        <w:rPr/>
        <w:t xml:space="preserve">Zaliczenie projektu: wykonanie i obrona projektu (40%), część wykładowa przedmiotu zaliczana jest pisemnie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Malesińska: Projektowanie instalacji tryskaczowej, Wydawnictwo Naukowe PWN, Warszawa 2018 r., ustawy,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2026-10-19T13:12:58+02:00</dcterms:created>
  <dcterms:modified xsi:type="dcterms:W3CDTF">2026-10-19T13:12:58+02:00</dcterms:modified>
</cp:coreProperties>
</file>

<file path=docProps/custom.xml><?xml version="1.0" encoding="utf-8"?>
<Properties xmlns="http://schemas.openxmlformats.org/officeDocument/2006/custom-properties" xmlns:vt="http://schemas.openxmlformats.org/officeDocument/2006/docPropsVTypes"/>
</file>