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(IN1A_33/02)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przygotowanie do egzaminu - 20, razem - 50;
Projekty: liczba godzin według planu studiów - 10, przygotowanie do zaliczenia - 20, przygotowanie pracy projektowej - 20, razem - 50; 
Razem - 100 godzin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zaliczenia - 20, przygotowanie pracy projektowej - 20, razem - 50;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chemii i podstaw inżynierii środowiska na poziomie studiów I stopnia.
Znajomość przynajmniej jednego oprogramowania umożliwiającego obliczenia inżynierskie (Matlab, Mathcad, Excel).</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w:t>
      </w:r>
    </w:p>
    <w:p>
      <w:pPr>
        <w:keepNext w:val="1"/>
        <w:spacing w:after="10"/>
      </w:pPr>
      <w:r>
        <w:rPr>
          <w:b/>
          <w:bCs/>
        </w:rPr>
        <w:t xml:space="preserve">Treści kształcenia: </w:t>
      </w:r>
    </w:p>
    <w:p>
      <w:pPr>
        <w:spacing w:before="20" w:after="190"/>
      </w:pPr>
      <w:r>
        <w:rPr/>
        <w:t xml:space="preserve">W1. Wprowadzenie do przedmiotu, podstawowe pojęcia i określenia.
W2. Klasyfikacja modeli matematycznych, procesy ustalone i nieustalone.
W3. Grupy równań tworzących model matematyczny (przykłady równań: bilansowego, pędu, energii, masy, ograniczenia na parametry procesu).
W4. Modelowanie przedsięwzięć termomodernizacji obiektów budowlanych.
W5. Metody oceny efektywności ekonomicznej przykładowych przedsięwzięć modernizacyjnych, termomodernizacyjnych. 
W6. Modelowanie procesów i układów dynamicznych.                                                          
W7. Modelowania procesów cieplnych.
W8. Modelowanie zużycia energii w obiektach budowlanych(ogrzewanie, wentylacja, klimatyzacja).
W9. Metody i techniki komputerowe, służących do rozwiązywania zagadnień inżynierskich (m.in. metody elementów skończonych i brzegowych)
W10. Symulacje wykorzystania odnawialnych źródeł energii.
W11. Przykłady modelowania matematycznego do rozwiązywania problemów ochrony środowiska.
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sumy punktów z wykładu (20 punktów) oraz punktów uzyskanych z realizacji projektów (30 punktów).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podstawowe metody, techniki, narzedzia stosowane przy rozwiązywaniu prostych zadań inżynierskich w zakresie inżynierii środowiska.</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ionżynierii środowiska. Potrafi integrować je, dokonywać ich interpretacji oraz wyciągać wnioski i formułować opinie.</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 typowych dla działalności inżynierskiej w zakresie inżynierii środowiska.</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U09_01: </w:t>
      </w:r>
    </w:p>
    <w:p>
      <w:pPr/>
      <w:r>
        <w:rPr/>
        <w:t xml:space="preserve">Potrafi wykorzystać do formułowania i rozwiązywania zadań inżynierskich w zakresie inżynierii środowiska metody analityczne, symulacyjne oraz eksperymentalne.</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poznne metody i modele matematyczne do analizy podstawowych zagadnień fizycznych i technicznych.</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I1A_U09_02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przejmując w niej różne role. Ma świadomość odpowiedzialności za wspólnie realizowane zadania.</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2026-07-25T10:15:23+02:00</dcterms:created>
  <dcterms:modified xsi:type="dcterms:W3CDTF">2026-07-25T10:15:23+02:00</dcterms:modified>
</cp:coreProperties>
</file>

<file path=docProps/custom.xml><?xml version="1.0" encoding="utf-8"?>
<Properties xmlns="http://schemas.openxmlformats.org/officeDocument/2006/custom-properties" xmlns:vt="http://schemas.openxmlformats.org/officeDocument/2006/docPropsVTypes"/>
</file>