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Dariusz Godlewski, dr inż. Instytut Dróg i Mostów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UTECHD</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12h, ćwiczenia projektowe 12h, samodzielne wykonanie projektu 15h, nauka do egzaminu i egzamin 15h, konsultacje 5h. Razem 59h.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ćwiczenia projektowe 12h, konsultacje 5h.Razem 29h.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12h, samodzielne wykonanie projektu 13h, konsultacje 5h. Razem 30h. 1punktu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1.Niektóre urządzenia stałe komunikacyjnych budowli ziemnych
 Urządzenia ochrony wód gruntowych. Zbiorniki retencji
2.Budowle systemów szynowych w pasach dróg samochodowych
Nawierzchnie tramwajowe i przejazdy jednopoziomowe.
3.Inżynieria MOP-ów. (Miejsca Obsługi Podróżnych) dróg szybkiego ruchu i autostrad.
Klasyfikacja MOP-ów . Modułowe systemy aranżacji MOP. Nawierzchnie. Odwodnienie. Organizacja ruchu.
4.Budowle ochrony akustycznej otoczenia dróg
Oblicz. Poziomy obciążeń hałasem. Specyfikacje techn ekranów akustycz.
5.Urządzenia wibroizolacji drogi
Sposoby ograniczenia drgań podłoża. Systemy izolacji drgań podłoża drogi.
6.Urządzenia i budowle zabezpieczeń ruchu drogowego
Typologia urządzeń. Podstawy konstrukcji budowli energochłonnych i barier.
Urządzenia spowalniania ruchu.
7.Budowle i urządzenia nośne oznakowań, informacji i oświetlenia drogi.
Konstrukcje stalowe, podstawy projektowania
8.Urządzenia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
</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Ciesielski R., Maciąg E.; Drgania drogowe i ich wpływ na budynki. WKiŁ 1990
Gradkowski. K.; Stałe urządzenia techniczne dróg. OW PW 2010.- skrypt, oraz publikacje  http://wektor.il.pw.edu.pl/~zik/p-gradkowski-o.html
Makarewicz R.; Hałas w środowisku. OWN, Poznań 1996.
</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UTECHDW1: </w:t>
      </w:r>
    </w:p>
    <w:p>
      <w:pPr/>
      <w:r>
        <w:rPr/>
        <w:t xml:space="preserve">Posiada wiedzę o rozpoznaniu i anlizie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UTECHDU1: </w:t>
      </w:r>
    </w:p>
    <w:p>
      <w:pPr/>
      <w:r>
        <w:rPr/>
        <w:t xml:space="preserve">Posiada umiejętność sporządzania elemntów projektu budowlanego i prowadzenie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rozwiązan technicznych opracowanych w ramch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UTECHDK1: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2025-11-22T17:50:12+01:00</dcterms:created>
  <dcterms:modified xsi:type="dcterms:W3CDTF">2025-11-22T17:50:12+01:00</dcterms:modified>
</cp:coreProperties>
</file>

<file path=docProps/custom.xml><?xml version="1.0" encoding="utf-8"?>
<Properties xmlns="http://schemas.openxmlformats.org/officeDocument/2006/custom-properties" xmlns:vt="http://schemas.openxmlformats.org/officeDocument/2006/docPropsVTypes"/>
</file>