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112 godz. = 4 ECTS: wykład 16 godz., ćwiczenia projektowe 16 godz., zapoznanie z literaturą: 20 godz., przygotowanie  pracy domowych złożonej z dwu zadań:  30 godz., przygotowanie do obrony i obrona pracy domowej :10 godz., przygotowanie i udział w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=1,5 ECTS: wykład 16 godz., ćwiczenia projektowe 16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projektowe 16 godz., przygotowanie  pracy domowej 30 godz., przygotowanie do obrony i obrona pracy domowej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Informatyka 1, Wytrzymałość Materiałów I i II, Mechanika Konstrukcji I i II – studia I stopnia.
Metoda Elementów Skończonych- studia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mechaniki konstrukcji w zakresie analizy statycznej i dynamicznej  konstrukcji prętowych oraz w zakresie statyki powłok obrotowych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prętowe przestrzenne. 
Analiza statyczna rusztów o węzłach sztywnych . 
Drgania niestacjonarne nietłumione układów o dyskretnym rozkładzie masy. Tłumienie drgań.
Statyka powłok walcowych.
Zbiorniki walcowe wzmocnione przeponami.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projektowa :  statyka, dynamika rusztu o węzłach sztywnych oraz zbiornik walcowy – wykonanie i obrona. 
Egzamin pisemny i ustny.
Wpisy do indeksu obejmują trzy oceny:
projekt (ocena na podstawie  kolokwium oraz ocen z obrony projektu),
egzamin (na  podstawie ocen z egzaminów pisemnego i ustnego),
ocena łączna.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Gomuliński A. i inni, Mechanika budowli. Ujęcie komputerowe, Arkady,Warszawa, 1992;
[2] Chmielewski T., Zembaty Z., Podstawy dynamiki budowli. Arkady 1998;
[3] Zienkiewicz O.C., Taylor R.L., The Finite Element Method. Vol. I, II. Butterworth-Heinemann 2000;
[4] Nowacki W., Mechanika budowli, PWN, Warszawa 1957 (lub nowsze); 
[5] Nowacki W. Dynamika budowli, Arkady, Warszawa, 1961; 
[6] Kaliski S. - red. -  Drgania i fale, Warszawa, 1964;
[7] Rakowski G., Kacprzyk Z., Metoda elementów skończonych w mechanice konstrukcji. Oficyna Wydawnicza Politechniki Warszawskiej, Warszawa 2005;
[8] G Dzierżanowski i in. Zbiór zadań z mechaniki konstrukcji prętowych. Zagadnienia statyczne. OW PW 2014.
[9] Z.Mazurkiewicz. Cienkie powłoki sprężyste. OW PW, Warszawa, wyd. 2. 2004
[10] PN-80/B-03040 Fundamenty i konstrukcje wsporcze pod maszyny. Obliczenia i projektowanie.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MEKOKBW1: </w:t>
      </w:r>
    </w:p>
    <w:p>
      <w:pPr/>
      <w:r>
        <w:rPr/>
        <w:t xml:space="preserve">														Potrafi wyznaczać siły wewnętrzne oraz przemieszczenia ram płaskich, rusztów przegubowych, rusztów o węzłach sztywnych i prostych przestrzennych konstrukcji prętowych. 
Potrafi przeprowadzić analizę dynamiczną układów o dyskretnym rozkładzie masy.
 Potrafi wyznaczać częstości drgań własnych oraz ich postacie. Potrafi wyznaczać drgania konstrukcji prętowych wywołane wymuszeniem  harmonicznym.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MEKOKBU1: </w:t>
      </w:r>
    </w:p>
    <w:p>
      <w:pPr/>
      <w:r>
        <w:rPr/>
        <w:t xml:space="preserve">							Wyznacza siły wewnętrzne i przemieszczenia w ramach płaskich, rusztach przegubowych i rusztach o węzłach sztywnych oraz prostych przestrzennych konstrukcjach prętowych. Określa odpowiedź dynamiczną konstrukcji o dyskretnym rozkładzie masy.  Wyznacza częstości drgań własnych oraz drgania w konstrukcji prętowej wywołane wymuszeniem harmonicznym.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MEKOKBK1: </w:t>
      </w:r>
    </w:p>
    <w:p>
      <w:pPr/>
      <w:r>
        <w:rPr/>
        <w:t xml:space="preserve">Samodzielnie wykonuje pracę domową, potrafi prezentować wyniki własnej pracy,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2026-02-25T22:38:32+01:00</dcterms:created>
  <dcterms:modified xsi:type="dcterms:W3CDTF">2026-02-25T22:38:32+01:00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