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w języku obcym MiBP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prof. dr hab. inż. Wojciech Radomski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SEMNARO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- 8 h:
   - obecność na zajęciach seminaryjnych - 7 h.
   - współprowadzenie zajęć - 1 h.
2. Przygotowanie do zajęć - 14 h.
3. Zapoznanie się ze wskazaną literaturą - 8 h.
Razem nakład pracy studenta - 30 h = 1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- 8 h:
   - obecność na zajęciach seminaryjnych - 7 h.
   - współprowadzenie zajęć - 1 h.
Razem nakład pracy studenta - 8 h = 0,5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Godziny kontaktowe - 1 h:
   - współprowadzenie zajęć - 1 h.
2. Przygotowanie do zajęć - 14 h.
Razem nakład pracy studenta - 15 h = 0,5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materiałów do przygotowywanej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zależności od realizowanych tematów prac dyplomowych.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oraz forma i treść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realizowanych tematów prac dyplomowych.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SEMNAROW1: </w:t>
      </w:r>
    </w:p>
    <w:p>
      <w:pPr/>
      <w:r>
        <w:rPr/>
        <w:t xml:space="preserve">Posiada wiedzę o konstrukcjach mostowych (w tym wiedzę dotyczącą terminologii w wybranym obcym języku) pozwalającą samodzielnie podjąć analizę wybranego tematu dotyczącego jednego z aspektów planowania, projektowania lub budowy mostów.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Forma i treść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K2_W09, 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SEMNAROU1: </w:t>
      </w:r>
    </w:p>
    <w:p>
      <w:pPr/>
      <w:r>
        <w:rPr/>
        <w:t xml:space="preserve">W oparciu o samodzielnie zdobyte materiały (polsko- i obcojęzyczne) potrafi przeanalizować wybrany temat dotyczący jednego z aspektów planowania, projektowania lub budowy mostów i zreferować go publicznie w formie prezentacji w wybranym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Forma i treść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K2_U07,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T2A_U02, T2A_U03, T2A_U06, T2A_U04,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SEMNAROK1: </w:t>
      </w:r>
    </w:p>
    <w:p>
      <w:pPr/>
      <w:r>
        <w:rPr/>
        <w:t xml:space="preserve">Potrafi analizować posiadane informacje pod kątem wykorzystania ich w planowaniu, projektowaniu oraz budowie konstrukcji mostowych, uwzględniając aspekty środowiskowe, a także biorąc pod uwagę autorstwo wykorzystywanych rozwiązań. Potrafi dyskutować w środowisku zawodowym (krajowym i zagranicznym), a także poza nim, nad nowymi zagadnieniami związanymi z szeroko rozumianym rozwojem technicznym, w oparciu o informacje, które stara się samodzielnie zdobywać ze źródeł krajowych i zagranicznych.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oraz forma i treść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2025-10-31T05:28:50+01:00</dcterms:created>
  <dcterms:modified xsi:type="dcterms:W3CDTF">2025-10-31T05:28:50+01:00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