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Zespół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
ćwiczenia projektowe 32h,
zapoznanie się z literaturą przedmiotu 5h,
wykonanie projektu 15h,
obrona projektu 2 h,
nauka do egzaminu i egzamin 30 h.
Razem 100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16h,
ćwiczenia projektowe 32h,
obrona projektu 2h,
konsultacje i egzamin 10h.
Razem 60h=2,5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32h,
wykonanie projektu 15h,
obrona projektu 2h,
Razem 49h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Drogi i ulice I. 
Zaliczony przedmiot: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dróg, ulic i skrzyżowań, z uwzględnieniem związków między funkcjami dróg i ulic a ich parametrami technicznymi oraz wyposażeniem. Przedstawienie zagadnień związanych z projektowaniem ulic oraz skrzyżowań ulicznych z sygnalizacją świetlną. Pogłębienie wiadomości o odwodnieniu typu 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
1.	Klasyfikacja ulic. Funkcje ulic. Struktura hierarchiczna miejskich układów drogowych. Zasady powiązania układów ulic miejskich z drogami zamiejskimi
2.	Ulica w planie i w przekroju podłużnym. Elementy przekrojów poprzecznych ulic i ich parametry.
3.	Urządzenia dla ruchu pieszego i transportu publicznego. Potrzeby osób niepełnosprawnych.
4.	Urządzenia dla ruchu rowerowego.
5.	Parkowanie.
6.	Skrzyżowania uliczne ze szczególnym uwzględnieniem skrzyżowań z sygnalizacją świetlną.
7.	Odwodnienie typu ulicznego.
8.	Nawierzchnie, z uwzględnieniem wykonywania poszerzeń.
9.	Wymagania ochrony środowiska.
Ćwiczenie projektowe
Należy wykonać projekt przebudowy lub rozbudowy skrzyżowania z sygnalizacją świetlną albo z wprowadzeniem sygnalizacji świetlnej, z uwzględnieniem analizy uwarunkowań, rozwiązania w planie, rozwiązania wysokościowego, doboru nawierzchni, urządzeń dla transportu publicznego i ruchu rowerowego, odwodnienia, oznakowania, z wykorzystaniem wiedzy z inżynierii ruchu w zakresie doboru programów sygnalizacji świetlnej i sprawdzenia przepustowości.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Rozporządzenie Ministra Transportu i Gospodarki Morskiej z dnia 2 marca 1999 r. w sprawie warunków technicznych, jakim powinny odpowiadać drogi publiczne i ich usytuowanie, Dz. U. Nr 43/1999, poz. 430 (z późn. zmianami) - tekst jednolity
•	Komentarz do warunków technicznych jakim powinny odpowiadać drogi publiczne i ich usytuowanie. Część II Zagadnienia techniczne. GDDKiA, Transprojekt Warszawa 2002
•	Rozporządzenie Ministrów Infrastruktury oraz Spraw Wewnętrznych i Administracji z dn. 31 lipca 2002 r. w sprawie znaków i sygnałów drogowych, Dz. U. Nr 170/2002, poz. 1393
•	Rozporządzenia Ministra Infrastruktury z dnia 3 lipca 2003 r. w sprawie szczegółowych warunków technicznych dla znaków i sygnałów drogowych oraz urządzeń bezpieczeństwa ruchu drogowego i warunków ich umieszczania na drogach, Dz. U. Nr 220/2003, poz. 2181, wraz z załącznikami, i Dz. U. Nr 67/2008, poz. 413
•	Wytyczne projektowania skrzyżowań drogowych, GDDP 2001
•	Roman Edel – Odwodnienie dróg. Wydawnictwa Komunikacji i Łączności 2006
•	Leon Prochowski – Pojazdy samochodowe. Mechanika ruchu. Wydawnictwa Komunikacji i Łączności 2005
•	Stanisław Gaca, Wojciech Suchorzewski, Marian Tracz – Inżynieria ruchu drogowego. Teoria i praktyka. Wydawnictwa Komunikacji i Łączności 2008
•	Metoda obliczania przepustowości skrzyżowań z sygnalizacją świetlną, GDDKiA 2004
•	ujednolicone teksty potrzebnych ustaw i rozporządzeń, www.sejm.gov.pl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DROULI2W1: </w:t>
      </w:r>
    </w:p>
    <w:p>
      <w:pPr/>
      <w:r>
        <w:rPr/>
        <w:t xml:space="preserve">Student ma wiedzę w zakresie metodologii projektowania procesów budowlanych w budownictwie drogowym. Rozumie istotę systemowego formułowania i rozwiązywania zadań projektowych. Zna zasady wyboru i oceny rozwiązań projektowych. Zna regulacje wynikające z Ustawy - Prawo budowlane, Ustawy o drogach publicznych, przepisów ochrony środowiska oraz podstawowe regulacje wynikające z innych przepisów zawartych w ustawach i rozporządzeniach stanowiących akty wykonawcze do tych ustaw. Ma poszerzoną wiedzę dotyczącą projektowania i eksploatacji wybranych budowli inżynierskich w zakresie zgodnym z profilem specjalności. Ma pogłębioną wiedzę w zakresie projektowania konstrukcji drogowych oraz ich posadowienia. Zna narzędzia obliczeniowe stosowane w inżynierii komunikacyjnej. Ma pogłębioną wiedzę o projektowaniu i eksploatacji elementów infrastruktury drogowej i transportu publicznego. Ma pogłębioną wiedzę w zakresie związków kształtowania geometrycznego i konstrukcji obiektów drogowych oraz inżynierii ruchu Zna materiały aktualnie stosowane do budowy dróg. Zna przepisy aktualnie stosowane w budownictwie komunikacyjnym, wytyczne techniczne i elementy składowe dokumentacji projektowej oraz fazy jej przygotowania. Ma wiedzę o najistotniejszych nowych osiągnięciach i tendencjach rozwojowych w budownictwie komunikacyjnym. Ma wiedzę pozwalającą zrozumieć społeczne, ekonomiczne, środowiskowe, prawne i inne uwarunkowania wynikające z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DROULI2U1: </w:t>
      </w:r>
    </w:p>
    <w:p>
      <w:pPr/>
      <w:r>
        <w:rPr/>
        <w:t xml:space="preserve">Student potrafi zaprojektować wybrane elementy konstrukcyjne obiektu drogowego.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DROULI2K1: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2026-10-19T08:01:04+02:00</dcterms:created>
  <dcterms:modified xsi:type="dcterms:W3CDTF">2026-10-19T08:01:04+02:00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