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informacyjne</w:t>
      </w:r>
    </w:p>
    <w:p>
      <w:pPr>
        <w:keepNext w:val="1"/>
        <w:spacing w:after="10"/>
      </w:pPr>
      <w:r>
        <w:rPr>
          <w:b/>
          <w:bCs/>
        </w:rPr>
        <w:t xml:space="preserve">Koordynator przedmiotu: </w:t>
      </w:r>
    </w:p>
    <w:p>
      <w:pPr>
        <w:spacing w:before="20" w:after="190"/>
      </w:pPr>
      <w:r>
        <w:rPr/>
        <w:t xml:space="preserve"> dr inż. Maciej Horczyczak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Papiernictwo i Poligrafia</w:t>
      </w:r>
    </w:p>
    <w:p>
      <w:pPr>
        <w:keepNext w:val="1"/>
        <w:spacing w:after="10"/>
      </w:pPr>
      <w:r>
        <w:rPr>
          <w:b/>
          <w:bCs/>
        </w:rPr>
        <w:t xml:space="preserve">Grupa przedmiotów: </w:t>
      </w:r>
    </w:p>
    <w:p>
      <w:pPr>
        <w:spacing w:before="20" w:after="190"/>
      </w:pPr>
      <w:r>
        <w:rPr/>
        <w:t xml:space="preserve">Informatyka</w:t>
      </w:r>
    </w:p>
    <w:p>
      <w:pPr>
        <w:keepNext w:val="1"/>
        <w:spacing w:after="10"/>
      </w:pPr>
      <w:r>
        <w:rPr>
          <w:b/>
          <w:bCs/>
        </w:rPr>
        <w:t xml:space="preserve">Kod przedmiotu: </w:t>
      </w:r>
    </w:p>
    <w:p>
      <w:pPr>
        <w:spacing w:before="20" w:after="190"/>
      </w:pPr>
      <w:r>
        <w:rPr/>
        <w:t xml:space="preserve">IP-IDW-TEINF-2-11Z</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Sumaryczna liczba godzin pracy studenta: 60.  Obejmuje:
Zajęcia kontaktowe z nauczycielem:
•	obecność na W: 15 godz.
•	obecność na L: 15 godz.
•	konsultacje: 15 godz.
Zajęcia bez kontaktu z nauczycielem:
•	przygotowanie do zajęć L: 10 godz.
•	przygotowanie dokumentacji/sprawozdania z projektu: 10 godz.
•	przygotowanie do zaliczenia W: 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1,5 punktu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225h</w:t>
            </w:r>
          </w:p>
        </w:tc>
      </w:tr>
      <w:tr>
        <w:trPr>
          <w:trHeight w:val="250" w:hRule="atLeast"/>
        </w:trPr>
        <w:tc>
          <w:tcPr>
            <w:tcW w:w="2200" w:type="dxa"/>
          </w:tcPr>
          <w:p>
            <w:pPr/>
            <w:r>
              <w:rPr/>
              <w:t xml:space="preserve">Ćwiczenia: </w:t>
            </w:r>
          </w:p>
        </w:tc>
        <w:tc>
          <w:tcPr>
            <w:tcW w:w="2200" w:type="dxa"/>
          </w:tcPr>
          <w:p>
            <w:pPr/>
            <w:r>
              <w:rPr/>
              <w:t xml:space="preserve">225h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Usystematyzowanie wiedzy i doskonalenie umiejętności z zakresu edycji tekstu, wykorzystania arkuszy kalkulacyjnych, opracowywania prezentacji multimedialnej, obróbki plików graficznych, wykorzystania stron internetowych w kontekście realizacji zajęć w ramach studiów. Doskonalenie umiejętności posługiwania się współczesnymi pakietami wchodzącymi w skład programów typu: MS Office, OpenOffice oraz dostępnych w ramach 	licencji otwartych.</w:t>
      </w:r>
    </w:p>
    <w:p>
      <w:pPr>
        <w:keepNext w:val="1"/>
        <w:spacing w:after="10"/>
      </w:pPr>
      <w:r>
        <w:rPr>
          <w:b/>
          <w:bCs/>
        </w:rPr>
        <w:t xml:space="preserve">Treści kształcenia: </w:t>
      </w:r>
    </w:p>
    <w:p>
      <w:pPr>
        <w:spacing w:before="20" w:after="190"/>
      </w:pPr>
      <w:r>
        <w:rPr/>
        <w:t xml:space="preserve">Wykład (15h):
1) Wstęp. Podstawowe informacje o edytorach tekstu, arkuszach kalkulacyjnych, programach do prezentacji multimedialnych, obróbce plików graficznych, stronach internetowych. Aspekty sprzętowe.  (2h). 
2) Typografia tekstu (2h).
3)	Arkusze kalkulacyjne (2h).
4)	Arkusze kalkulacyjne (2h).
5)	Prezentacje multimedialne. Obróbka graficzna (2h).
6)	Strony internetowe (2h).
7)	Aspekty prawne i etyczne pozyskiwania oraz wykorzystywania danych. (2h).
8)	Zaliczenie części W  (1h).
Laboratorium (15h)
1)	Zajęcia wprowadzające: lista, BHP, rozkład jazdy, kwestie porządkowe, regulamin laboratorium, ocena końcowa z laboratorium, sposób przygotowywania się do zajęć.
2)	Obliczenia warunkowe na arkuszu: przykład prostych obliczeń warunkowych.: PROJ1, PROJ2. 
3)	Obliczenia na arkuszu z zastosowaniem metod numerycznych: PROJ3, PROJ4.
4)	 Estymacja i aproksymacja na arkuszu / arkusz jako baza danych: PROJ5, PROJ6 
5)	 Zagadnienia optymalizacyjne na arkuszu - solver: PROJ7, PROJ8.
6) Zagadnienia optymalizacyjne na arkuszu. PROJ9. 
7) Edycja tekstów. PROJ10.
8) Opracowanie i przygotowanie wykresów w arkuszu kalkulacyjnym oraz ich transfer do dokumentu tekstowego.</w:t>
      </w:r>
    </w:p>
    <w:p>
      <w:pPr>
        <w:keepNext w:val="1"/>
        <w:spacing w:after="10"/>
      </w:pPr>
      <w:r>
        <w:rPr>
          <w:b/>
          <w:bCs/>
        </w:rPr>
        <w:t xml:space="preserve">Metody oceny: </w:t>
      </w:r>
    </w:p>
    <w:p>
      <w:pPr>
        <w:spacing w:before="20" w:after="190"/>
      </w:pPr>
      <w:r>
        <w:rPr/>
        <w:t xml:space="preserve">W - jedno kolokwium na koniec wykładów,
C - ocena średnia ważona z ocen z ogólnej liczby projektów (liczba określana każdorazowo przed rozpoczęciem zajęć)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Negrino, Tom, PowerPoint 2007 PL, 2008
2.	Gomoliński, Piotr. Red., Naucz się z nami! PowerPoint, 2000.
3.	Wolańska, Ewa Małgorzata, Jak pisać i redagować, 2009.
4.	Ambrose, Gavin, Typografia, 2008.
5.	Bierkowski, Tomasz, O typografii, 2008.
6.	Bringhurst, Robert, Elementarz stylu w typografii, 2008.
7.	Mrowczyk, Jacek, Niewielki słownik typograficzny, 2008.
8.	Simmons, Jason. Komputerowy warsztat projektanta, 2008.
9.	Bovey, Rob, Excel, 2010.
10.	Gajda, Bartosz, Excel 2007 PL, 2010.
11.	Walkenbach, John. Excel 2007 PL, 2010.
12.	Wrotek, Witold. Excel 2010 PL, 2010.
13.	MacDonald, Matthew. Tworzenie stron WWW, 2010.
14.	Powers, Shelley. Grafika w Internecie, 2009.
15.	Sieńczyło-Chlabicz, Joanna. Red. Prawo własności intelektualnej, 2009.
16.	Materska, Katarzyna. Red. Organizowanie środowiska informacji i wiedzy, 2008.
17.	Nowak, Tadeusz Ochrona własności intelektualnej, 2008.
18.	David Crowder i Rhonda Crowder, Tworzenie stron www. Biblia, Helion 2002.
19.	Jakob Nielsen, Projektowanie funkcjonalnych serwisów internetowych, Helion 2003.
20.	Mark Pearrow, Funkcjonalność stron internetowych, Helion 2002.
21.	Ani Phyo, Web Design. Projektowanie atrakcyjnych stron www., Helion 2003.
22.	Joseph Philips, Zarządzanie projektami IT, Helion 2005.
23.	Shari Thurow, Pozycjonowanie w wyszukiwarkach internetowych, Helion 2004. 
24.	Piotr Waglowski, Prawo w sieci. Zarys regulacji Internetu, Helion.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2025-07-08T05:38:20+02:00</dcterms:created>
  <dcterms:modified xsi:type="dcterms:W3CDTF">2025-07-08T05:38:20+02:00</dcterms:modified>
</cp:coreProperties>
</file>

<file path=docProps/custom.xml><?xml version="1.0" encoding="utf-8"?>
<Properties xmlns="http://schemas.openxmlformats.org/officeDocument/2006/custom-properties" xmlns:vt="http://schemas.openxmlformats.org/officeDocument/2006/docPropsVTypes"/>
</file>